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B" w:rsidRPr="006E78B1" w:rsidRDefault="009C5DBB" w:rsidP="009C5DBB">
      <w:pPr>
        <w:pStyle w:val="NoteHead"/>
        <w:jc w:val="left"/>
        <w:rPr>
          <w:szCs w:val="24"/>
        </w:rPr>
      </w:pPr>
      <w:bookmarkStart w:id="0" w:name="_GoBack"/>
      <w:bookmarkEnd w:id="0"/>
      <w:r w:rsidRPr="006E78B1">
        <w:rPr>
          <w:szCs w:val="24"/>
        </w:rPr>
        <w:t>PAR COURRIEL (pièce jointe au courrier électronique)</w:t>
      </w:r>
    </w:p>
    <w:p w:rsidR="00185027" w:rsidRPr="006E78B1" w:rsidRDefault="00185027" w:rsidP="00185027">
      <w:pPr>
        <w:pStyle w:val="Subject"/>
        <w:rPr>
          <w:szCs w:val="24"/>
        </w:rPr>
      </w:pPr>
      <w:r w:rsidRPr="006E78B1">
        <w:rPr>
          <w:szCs w:val="24"/>
        </w:rPr>
        <w:t>Date: 30.1.2018</w:t>
      </w:r>
    </w:p>
    <w:p w:rsidR="00EE0E73" w:rsidRPr="006E78B1" w:rsidRDefault="009C5DBB" w:rsidP="00EE0E73">
      <w:pPr>
        <w:pStyle w:val="Subject"/>
        <w:jc w:val="both"/>
        <w:rPr>
          <w:szCs w:val="24"/>
        </w:rPr>
      </w:pPr>
      <w:r w:rsidRPr="006E78B1">
        <w:rPr>
          <w:szCs w:val="24"/>
        </w:rPr>
        <w:t xml:space="preserve">Objet: </w:t>
      </w:r>
      <w:r w:rsidRPr="006E78B1">
        <w:rPr>
          <w:szCs w:val="24"/>
        </w:rPr>
        <w:tab/>
        <w:t>Méthodologie à utiliser pour calculer le montant de la contribution du FEDER soutenant des mesures d'efficacité énergétique dans le cadre d’actions plus larges de rénovation de logements sociaux constituant des services d’intérêt économique général (SIEG)</w:t>
      </w:r>
    </w:p>
    <w:p w:rsidR="00185027" w:rsidRPr="006E78B1" w:rsidRDefault="00185027" w:rsidP="00185027">
      <w:pPr>
        <w:rPr>
          <w:rFonts w:ascii="Times New Roman" w:hAnsi="Times New Roman"/>
          <w:b/>
          <w:sz w:val="24"/>
          <w:szCs w:val="24"/>
        </w:rPr>
      </w:pPr>
      <w:r w:rsidRPr="006E78B1">
        <w:rPr>
          <w:rFonts w:ascii="Times New Roman" w:hAnsi="Times New Roman"/>
          <w:sz w:val="24"/>
          <w:szCs w:val="24"/>
        </w:rPr>
        <w:t>Origine de la question (nom de l’État membre)</w:t>
      </w:r>
      <w:proofErr w:type="gramStart"/>
      <w:r w:rsidRPr="006E78B1">
        <w:rPr>
          <w:rFonts w:ascii="Times New Roman" w:hAnsi="Times New Roman"/>
          <w:sz w:val="24"/>
          <w:szCs w:val="24"/>
        </w:rPr>
        <w:t>:  France</w:t>
      </w:r>
      <w:proofErr w:type="gramEnd"/>
    </w:p>
    <w:p w:rsidR="00D57B53" w:rsidRPr="006E78B1" w:rsidRDefault="00D57B53" w:rsidP="00D57B53">
      <w:pPr>
        <w:autoSpaceDE w:val="0"/>
        <w:autoSpaceDN w:val="0"/>
        <w:adjustRightInd w:val="0"/>
        <w:spacing w:after="0" w:line="240" w:lineRule="auto"/>
        <w:ind w:left="1416" w:hanging="1416"/>
        <w:jc w:val="both"/>
        <w:rPr>
          <w:rFonts w:ascii="Times New Roman" w:hAnsi="Times New Roman"/>
          <w:sz w:val="24"/>
          <w:szCs w:val="24"/>
        </w:rPr>
      </w:pPr>
      <w:r w:rsidRPr="006E78B1">
        <w:rPr>
          <w:rFonts w:ascii="Times New Roman" w:hAnsi="Times New Roman"/>
          <w:sz w:val="24"/>
          <w:szCs w:val="24"/>
        </w:rPr>
        <w:t>Articles:</w:t>
      </w:r>
      <w:r w:rsidRPr="006E78B1">
        <w:rPr>
          <w:rFonts w:ascii="Times New Roman" w:hAnsi="Times New Roman"/>
          <w:sz w:val="24"/>
          <w:szCs w:val="24"/>
        </w:rPr>
        <w:tab/>
      </w:r>
      <w:r w:rsidR="00B34618" w:rsidRPr="006E78B1">
        <w:rPr>
          <w:rFonts w:ascii="Times New Roman" w:hAnsi="Times New Roman"/>
          <w:sz w:val="24"/>
          <w:szCs w:val="24"/>
        </w:rPr>
        <w:t>articles 61 et</w:t>
      </w:r>
      <w:r w:rsidRPr="006E78B1">
        <w:rPr>
          <w:rFonts w:ascii="Times New Roman" w:hAnsi="Times New Roman"/>
          <w:sz w:val="24"/>
          <w:szCs w:val="24"/>
        </w:rPr>
        <w:t xml:space="preserve"> 65 du règlement portant dispositions communes (RDC) </w:t>
      </w:r>
    </w:p>
    <w:p w:rsidR="00D57B53" w:rsidRPr="006E78B1" w:rsidRDefault="00D57B53" w:rsidP="009C5DBB">
      <w:pPr>
        <w:pStyle w:val="Listepuces"/>
        <w:numPr>
          <w:ilvl w:val="0"/>
          <w:numId w:val="0"/>
        </w:numPr>
        <w:spacing w:after="120"/>
        <w:rPr>
          <w:szCs w:val="24"/>
        </w:rPr>
      </w:pPr>
    </w:p>
    <w:p w:rsidR="009C5DBB" w:rsidRPr="006E78B1" w:rsidRDefault="009C5DBB" w:rsidP="009C5DBB">
      <w:pPr>
        <w:tabs>
          <w:tab w:val="left" w:pos="1843"/>
        </w:tabs>
        <w:autoSpaceDE w:val="0"/>
        <w:autoSpaceDN w:val="0"/>
        <w:adjustRightInd w:val="0"/>
        <w:spacing w:after="120"/>
        <w:rPr>
          <w:rFonts w:ascii="Times New Roman" w:hAnsi="Times New Roman"/>
          <w:sz w:val="24"/>
          <w:szCs w:val="24"/>
        </w:rPr>
      </w:pPr>
      <w:r w:rsidRPr="006E78B1">
        <w:rPr>
          <w:rFonts w:ascii="Times New Roman" w:hAnsi="Times New Roman"/>
          <w:sz w:val="24"/>
          <w:szCs w:val="24"/>
        </w:rPr>
        <w:t>Priorité: NORMALE</w:t>
      </w:r>
    </w:p>
    <w:p w:rsidR="00185027" w:rsidRPr="006E78B1" w:rsidRDefault="00185027" w:rsidP="009C5DBB">
      <w:pPr>
        <w:tabs>
          <w:tab w:val="left" w:pos="1843"/>
        </w:tabs>
        <w:autoSpaceDE w:val="0"/>
        <w:autoSpaceDN w:val="0"/>
        <w:adjustRightInd w:val="0"/>
        <w:spacing w:after="120"/>
        <w:rPr>
          <w:rFonts w:ascii="Times New Roman" w:hAnsi="Times New Roman"/>
          <w:sz w:val="24"/>
          <w:szCs w:val="24"/>
        </w:rPr>
      </w:pPr>
    </w:p>
    <w:p w:rsidR="009C5DBB" w:rsidRPr="006E78B1" w:rsidRDefault="009C5DBB" w:rsidP="00EE0E73">
      <w:pPr>
        <w:tabs>
          <w:tab w:val="left" w:pos="1843"/>
        </w:tabs>
        <w:autoSpaceDE w:val="0"/>
        <w:autoSpaceDN w:val="0"/>
        <w:adjustRightInd w:val="0"/>
        <w:rPr>
          <w:rFonts w:ascii="Times New Roman" w:hAnsi="Times New Roman"/>
          <w:b/>
          <w:iCs/>
          <w:sz w:val="24"/>
          <w:szCs w:val="24"/>
        </w:rPr>
      </w:pPr>
      <w:r w:rsidRPr="006E78B1">
        <w:rPr>
          <w:rFonts w:ascii="Times New Roman" w:hAnsi="Times New Roman"/>
          <w:b/>
          <w:sz w:val="24"/>
          <w:szCs w:val="24"/>
        </w:rPr>
        <w:t xml:space="preserve">Question (comprenant les informations et les faits pertinents): </w:t>
      </w:r>
    </w:p>
    <w:p w:rsidR="001127FA" w:rsidRPr="006E78B1" w:rsidRDefault="001127FA" w:rsidP="00BC5685">
      <w:pPr>
        <w:numPr>
          <w:ilvl w:val="0"/>
          <w:numId w:val="4"/>
        </w:numPr>
        <w:spacing w:after="0" w:line="240" w:lineRule="auto"/>
        <w:jc w:val="both"/>
        <w:rPr>
          <w:rFonts w:ascii="Times New Roman" w:hAnsi="Times New Roman"/>
          <w:b/>
          <w:sz w:val="24"/>
          <w:szCs w:val="24"/>
        </w:rPr>
      </w:pPr>
      <w:r w:rsidRPr="006E78B1">
        <w:rPr>
          <w:rFonts w:ascii="Times New Roman" w:hAnsi="Times New Roman"/>
          <w:b/>
          <w:sz w:val="24"/>
          <w:szCs w:val="24"/>
        </w:rPr>
        <w:t>Utilisation du FEDER</w:t>
      </w:r>
    </w:p>
    <w:p w:rsidR="001127FA" w:rsidRPr="006E78B1" w:rsidRDefault="001127FA" w:rsidP="00BC5685">
      <w:pPr>
        <w:autoSpaceDE w:val="0"/>
        <w:autoSpaceDN w:val="0"/>
        <w:adjustRightInd w:val="0"/>
        <w:spacing w:after="0" w:line="240" w:lineRule="auto"/>
        <w:jc w:val="both"/>
        <w:rPr>
          <w:rFonts w:ascii="Times New Roman" w:hAnsi="Times New Roman"/>
          <w:bCs/>
          <w:sz w:val="24"/>
          <w:szCs w:val="24"/>
        </w:rPr>
      </w:pPr>
      <w:r w:rsidRPr="006E78B1">
        <w:rPr>
          <w:rFonts w:ascii="Times New Roman" w:hAnsi="Times New Roman"/>
          <w:sz w:val="24"/>
          <w:szCs w:val="24"/>
        </w:rPr>
        <w:t>La région "Alsace" prépare sa transition énergétique vers une économie «</w:t>
      </w:r>
      <w:proofErr w:type="spellStart"/>
      <w:r w:rsidRPr="006E78B1">
        <w:rPr>
          <w:rFonts w:ascii="Times New Roman" w:hAnsi="Times New Roman"/>
          <w:sz w:val="24"/>
          <w:szCs w:val="24"/>
        </w:rPr>
        <w:t>décarbonée</w:t>
      </w:r>
      <w:proofErr w:type="spellEnd"/>
      <w:r w:rsidRPr="006E78B1">
        <w:rPr>
          <w:rFonts w:ascii="Times New Roman" w:hAnsi="Times New Roman"/>
          <w:sz w:val="24"/>
          <w:szCs w:val="24"/>
        </w:rPr>
        <w:t>» avec un effort significatif mené sur l’efficacité énergétique dans les logements. La réhabilitation thermique du parc de logement social HLM a été identifiée comme prioritaire dans le cadre du programme opérationnel, en particulier en ciblant les logements les plus énergivores</w:t>
      </w:r>
      <w:r w:rsidRPr="006E78B1">
        <w:rPr>
          <w:rFonts w:ascii="Times New Roman" w:hAnsi="Times New Roman"/>
          <w:b/>
          <w:sz w:val="24"/>
          <w:szCs w:val="24"/>
        </w:rPr>
        <w:t xml:space="preserve">. </w:t>
      </w:r>
      <w:r w:rsidRPr="006E78B1">
        <w:rPr>
          <w:rFonts w:ascii="Times New Roman" w:hAnsi="Times New Roman"/>
          <w:sz w:val="24"/>
          <w:szCs w:val="24"/>
        </w:rPr>
        <w:t>Outre les gains d’efficacité énergétique, de telles opérations auraient aussi des effets bénéfiques sur la réduction de la fracture énergétique.</w:t>
      </w:r>
    </w:p>
    <w:p w:rsidR="001127FA" w:rsidRPr="006E78B1" w:rsidRDefault="001127FA" w:rsidP="00BC5685">
      <w:pPr>
        <w:autoSpaceDE w:val="0"/>
        <w:autoSpaceDN w:val="0"/>
        <w:adjustRightInd w:val="0"/>
        <w:spacing w:after="0" w:line="240" w:lineRule="auto"/>
        <w:jc w:val="both"/>
        <w:rPr>
          <w:rFonts w:ascii="Times New Roman" w:hAnsi="Times New Roman"/>
          <w:bCs/>
          <w:sz w:val="24"/>
          <w:szCs w:val="24"/>
        </w:rPr>
      </w:pPr>
      <w:r w:rsidRPr="006E78B1">
        <w:rPr>
          <w:rFonts w:ascii="Times New Roman" w:hAnsi="Times New Roman"/>
          <w:sz w:val="24"/>
          <w:szCs w:val="24"/>
        </w:rPr>
        <w:t>Par conséquent, le programme opérationnel "Alsace" (CCI 2014FR16RFOP006) a prévu sous l'axe 4 "</w:t>
      </w:r>
      <w:r w:rsidRPr="006E78B1">
        <w:rPr>
          <w:rFonts w:ascii="Times New Roman" w:hAnsi="Times New Roman"/>
          <w:i/>
          <w:sz w:val="24"/>
          <w:szCs w:val="24"/>
        </w:rPr>
        <w:t>Soutenir la transition vers une économie à faibles émissions de carbone dans tous les secteurs</w:t>
      </w:r>
      <w:r w:rsidRPr="006E78B1">
        <w:rPr>
          <w:rFonts w:ascii="Times New Roman" w:hAnsi="Times New Roman"/>
          <w:sz w:val="24"/>
          <w:szCs w:val="24"/>
        </w:rPr>
        <w:t>" des interventions spécifiques sous la priorité d'investissement 4c "</w:t>
      </w:r>
      <w:r w:rsidRPr="006E78B1">
        <w:rPr>
          <w:rFonts w:ascii="Times New Roman" w:hAnsi="Times New Roman"/>
          <w:i/>
          <w:sz w:val="24"/>
          <w:szCs w:val="24"/>
        </w:rPr>
        <w:t>Soutenir l'efficacité énergétique, la gestion intelligente de l'énergie et l'utilisation des énergies renouvelables dans les infrastructures publiques, y compris dans les bâtiments publics et dans le secteur du logement</w:t>
      </w:r>
      <w:r w:rsidRPr="006E78B1">
        <w:rPr>
          <w:rFonts w:ascii="Times New Roman" w:hAnsi="Times New Roman"/>
          <w:sz w:val="24"/>
          <w:szCs w:val="24"/>
        </w:rPr>
        <w:t xml:space="preserve">" pour un montant de 12 000 000 EUR. </w:t>
      </w:r>
    </w:p>
    <w:p w:rsidR="001127FA" w:rsidRPr="006E78B1" w:rsidRDefault="001127FA" w:rsidP="00BC5685">
      <w:pPr>
        <w:autoSpaceDE w:val="0"/>
        <w:autoSpaceDN w:val="0"/>
        <w:adjustRightInd w:val="0"/>
        <w:spacing w:after="0" w:line="240" w:lineRule="auto"/>
        <w:rPr>
          <w:rFonts w:ascii="Times New Roman" w:hAnsi="Times New Roman"/>
          <w:sz w:val="24"/>
          <w:szCs w:val="24"/>
        </w:rPr>
      </w:pPr>
    </w:p>
    <w:p w:rsidR="001127FA" w:rsidRPr="006E78B1" w:rsidRDefault="001127FA" w:rsidP="00BC5685">
      <w:pPr>
        <w:spacing w:after="0" w:line="240" w:lineRule="auto"/>
        <w:jc w:val="both"/>
        <w:rPr>
          <w:rFonts w:ascii="Times New Roman" w:hAnsi="Times New Roman"/>
          <w:sz w:val="24"/>
          <w:szCs w:val="24"/>
        </w:rPr>
      </w:pPr>
      <w:r w:rsidRPr="006E78B1">
        <w:rPr>
          <w:rFonts w:ascii="Times New Roman" w:hAnsi="Times New Roman"/>
          <w:sz w:val="24"/>
          <w:szCs w:val="24"/>
        </w:rPr>
        <w:t>Le FEDER est sollicité pour le financement d’opérations d’amélioration portant conjointement sur le confort et la performance énergétique des logements sociaux. Par ailleurs, le ciblage des actions de rénovation thermique sur les logements sociaux en particulier les plus dégradés, inclut une réduction de la facture énergétique de personnes aux revenus modestes et donc durement touché</w:t>
      </w:r>
      <w:r w:rsidR="00371509">
        <w:rPr>
          <w:rFonts w:ascii="Times New Roman" w:hAnsi="Times New Roman"/>
          <w:sz w:val="24"/>
          <w:szCs w:val="24"/>
        </w:rPr>
        <w:t>e</w:t>
      </w:r>
      <w:r w:rsidRPr="006E78B1">
        <w:rPr>
          <w:rFonts w:ascii="Times New Roman" w:hAnsi="Times New Roman"/>
          <w:sz w:val="24"/>
          <w:szCs w:val="24"/>
        </w:rPr>
        <w:t>s par le coût de l’énergie (précarité énergétique). La réduction de la consommation énergétique et de l’émission des GES par le bâti constitue également une des réponses à la lutte contre le changement climatique. Ces travaux font l’objet d’une procédure de marché public unique.</w:t>
      </w:r>
    </w:p>
    <w:p w:rsidR="00270E75" w:rsidRPr="006E78B1" w:rsidRDefault="00270E75" w:rsidP="00BC5685">
      <w:pPr>
        <w:numPr>
          <w:ilvl w:val="0"/>
          <w:numId w:val="4"/>
        </w:numPr>
        <w:spacing w:before="120" w:line="240" w:lineRule="auto"/>
        <w:jc w:val="both"/>
        <w:rPr>
          <w:rFonts w:ascii="Times New Roman" w:hAnsi="Times New Roman"/>
          <w:sz w:val="24"/>
          <w:szCs w:val="24"/>
        </w:rPr>
      </w:pPr>
      <w:r w:rsidRPr="006E78B1">
        <w:rPr>
          <w:rFonts w:ascii="Times New Roman" w:hAnsi="Times New Roman"/>
          <w:b/>
          <w:sz w:val="24"/>
          <w:szCs w:val="24"/>
        </w:rPr>
        <w:t>Réglementation nationale pour les bailleurs sociaux</w:t>
      </w:r>
    </w:p>
    <w:p w:rsidR="00270E75" w:rsidRPr="006E78B1" w:rsidRDefault="00270E75" w:rsidP="00BC5685">
      <w:pPr>
        <w:spacing w:before="120" w:line="240" w:lineRule="auto"/>
        <w:jc w:val="both"/>
        <w:rPr>
          <w:rFonts w:ascii="Times New Roman" w:hAnsi="Times New Roman"/>
          <w:sz w:val="24"/>
          <w:szCs w:val="24"/>
        </w:rPr>
      </w:pPr>
      <w:r w:rsidRPr="006E78B1">
        <w:rPr>
          <w:rFonts w:ascii="Times New Roman" w:hAnsi="Times New Roman"/>
          <w:sz w:val="24"/>
          <w:szCs w:val="24"/>
        </w:rPr>
        <w:t>Le mandat reconnu par l’Etat aux bailleurs sociaux pour l’application de la décision 2012/21/UE porte sur la construction, l’acquisition, l’amélioration, l’attribution, la gestion et la cession de logements locatifs à loyers plafonnés.</w:t>
      </w:r>
    </w:p>
    <w:p w:rsidR="00270E75" w:rsidRPr="006E78B1" w:rsidRDefault="00270E75" w:rsidP="00BC5685">
      <w:pPr>
        <w:spacing w:before="120" w:line="240" w:lineRule="auto"/>
        <w:jc w:val="both"/>
        <w:rPr>
          <w:rFonts w:ascii="Times New Roman" w:hAnsi="Times New Roman"/>
          <w:sz w:val="24"/>
          <w:szCs w:val="24"/>
        </w:rPr>
      </w:pPr>
      <w:r w:rsidRPr="006E78B1">
        <w:rPr>
          <w:rFonts w:ascii="Times New Roman" w:hAnsi="Times New Roman"/>
          <w:sz w:val="24"/>
          <w:szCs w:val="24"/>
        </w:rPr>
        <w:lastRenderedPageBreak/>
        <w:t>Par ailleurs, les bailleurs sociaux relèvent de par leurs statuts de la sphère publique: OPH (Office Public de l’Habitat), Etablissements publics à caractère administratif, communes ou de la sphère privée : Entreprises Sociales pour l’Habitat,  sociétés anonymes, les fondations d'habitations à loyer modéré, sociétés d’économie mixte, associations…</w:t>
      </w:r>
    </w:p>
    <w:p w:rsidR="00270E75" w:rsidRPr="006E78B1" w:rsidRDefault="00270E75" w:rsidP="00BC5685">
      <w:pPr>
        <w:spacing w:before="120" w:line="240" w:lineRule="auto"/>
        <w:jc w:val="both"/>
        <w:rPr>
          <w:rFonts w:ascii="Times New Roman" w:hAnsi="Times New Roman"/>
          <w:sz w:val="24"/>
          <w:szCs w:val="24"/>
        </w:rPr>
      </w:pPr>
      <w:r w:rsidRPr="006E78B1">
        <w:rPr>
          <w:rFonts w:ascii="Times New Roman" w:hAnsi="Times New Roman"/>
          <w:sz w:val="24"/>
          <w:szCs w:val="24"/>
        </w:rPr>
        <w:t>Cependant quel que soit le statut du bailleur, la réglementation HLM comporte un ensemble de règles qui limitent fortement le caractère lucratif de l’activité de ces organismes : absence de rémunération des administrateurs, limitation de la distribution de dividendes, encadrement du prix de cession des actions, interdiction de l’augmentation du capital par incorporation des réserves, bénéfices ou primes, interdiction de l’amortissement du capital, limitation de l’actif disponible à 150 % du capital social en cas de dissolution. Les bénéfices contribuent au financement de la réhabilitation du parc et de la construction de logements neufs.</w:t>
      </w:r>
    </w:p>
    <w:p w:rsidR="000A3D08" w:rsidRPr="006E78B1" w:rsidRDefault="000A3D08" w:rsidP="00BC5685">
      <w:pPr>
        <w:spacing w:before="120" w:line="240" w:lineRule="auto"/>
        <w:jc w:val="both"/>
        <w:rPr>
          <w:rFonts w:ascii="Times New Roman" w:hAnsi="Times New Roman"/>
          <w:sz w:val="24"/>
          <w:szCs w:val="24"/>
        </w:rPr>
      </w:pPr>
      <w:r w:rsidRPr="006E78B1">
        <w:rPr>
          <w:rFonts w:ascii="Times New Roman" w:hAnsi="Times New Roman"/>
          <w:sz w:val="24"/>
          <w:szCs w:val="24"/>
        </w:rPr>
        <w:t xml:space="preserve">Le coût total de l’opération comprend les dépenses à la rénovation thermique (éligibles du FEDER) et les autres coûts de rénovation (qui ne sont pas éligibles). Après la mise en œuvre de l'opération, les coûts d'entretien et loyer pour les utilisateurs de l'infrastructure rénovée pourraient changer, conformément aux règles mentionnées. Les augmentations générales de loyer ne sont pas uniquement liées aux travaux d’efficacité énergétique. </w:t>
      </w:r>
    </w:p>
    <w:p w:rsidR="008B3F10" w:rsidRPr="006E78B1" w:rsidRDefault="008B3F10" w:rsidP="00BC5685">
      <w:pPr>
        <w:pStyle w:val="Paragraphedeliste"/>
        <w:numPr>
          <w:ilvl w:val="0"/>
          <w:numId w:val="4"/>
        </w:numPr>
        <w:jc w:val="both"/>
        <w:rPr>
          <w:rFonts w:ascii="Times New Roman" w:hAnsi="Times New Roman"/>
          <w:b/>
          <w:sz w:val="24"/>
          <w:szCs w:val="24"/>
        </w:rPr>
      </w:pPr>
      <w:r w:rsidRPr="006E78B1">
        <w:rPr>
          <w:rFonts w:ascii="Times New Roman" w:hAnsi="Times New Roman"/>
          <w:b/>
          <w:sz w:val="24"/>
          <w:szCs w:val="24"/>
        </w:rPr>
        <w:t>Méthodologie actuelle</w:t>
      </w:r>
    </w:p>
    <w:p w:rsidR="00EE0E73" w:rsidRPr="006E78B1" w:rsidRDefault="00931A07" w:rsidP="00BC5685">
      <w:pPr>
        <w:pStyle w:val="Paragraphedeliste"/>
        <w:ind w:left="0"/>
        <w:jc w:val="both"/>
        <w:rPr>
          <w:rFonts w:ascii="Times New Roman" w:hAnsi="Times New Roman"/>
          <w:sz w:val="24"/>
          <w:szCs w:val="24"/>
        </w:rPr>
      </w:pPr>
      <w:r w:rsidRPr="006E78B1">
        <w:rPr>
          <w:rFonts w:ascii="Times New Roman" w:hAnsi="Times New Roman"/>
          <w:sz w:val="24"/>
          <w:szCs w:val="24"/>
        </w:rPr>
        <w:t xml:space="preserve">Pour calculer le montant de la contribution du FEDER dans la rénovation thermique des logements sociaux, les autorités de gestion françaises utilisent un tableur préparé par le CGET (voir annexe 1). Cette méthodologie prend en compte le coût total de l’opération de rénovation et le montant de l’assiette éligible au titre du FEDER afin de proratiser </w:t>
      </w:r>
      <w:r w:rsidRPr="006E78B1">
        <w:rPr>
          <w:rFonts w:ascii="Times New Roman" w:hAnsi="Times New Roman"/>
          <w:sz w:val="24"/>
          <w:szCs w:val="24"/>
          <w:u w:val="single"/>
        </w:rPr>
        <w:t>certains éléments</w:t>
      </w:r>
      <w:r w:rsidRPr="006E78B1">
        <w:rPr>
          <w:rFonts w:ascii="Times New Roman" w:hAnsi="Times New Roman"/>
          <w:sz w:val="24"/>
          <w:szCs w:val="24"/>
        </w:rPr>
        <w:t xml:space="preserve"> de coût et de recette (assiette éligible FEDER / coût total de l’opération).</w:t>
      </w:r>
    </w:p>
    <w:p w:rsidR="00E1378C" w:rsidRPr="006E78B1" w:rsidRDefault="00E1378C" w:rsidP="00BC5685">
      <w:pPr>
        <w:pStyle w:val="Paragraphedeliste"/>
        <w:ind w:left="0"/>
        <w:jc w:val="both"/>
        <w:rPr>
          <w:rFonts w:ascii="Times New Roman" w:hAnsi="Times New Roman"/>
          <w:sz w:val="24"/>
          <w:szCs w:val="24"/>
        </w:rPr>
      </w:pPr>
    </w:p>
    <w:p w:rsidR="00EE0E73" w:rsidRPr="006E78B1" w:rsidRDefault="00EE0E73" w:rsidP="00BC5685">
      <w:pPr>
        <w:spacing w:after="0" w:line="240" w:lineRule="auto"/>
        <w:jc w:val="both"/>
        <w:rPr>
          <w:rFonts w:ascii="Times New Roman" w:hAnsi="Times New Roman"/>
          <w:sz w:val="24"/>
          <w:szCs w:val="24"/>
        </w:rPr>
      </w:pPr>
      <w:r w:rsidRPr="006E78B1">
        <w:rPr>
          <w:rFonts w:ascii="Times New Roman" w:hAnsi="Times New Roman"/>
          <w:sz w:val="24"/>
          <w:szCs w:val="24"/>
          <w:u w:val="single"/>
        </w:rPr>
        <w:t>Pour la partie recettes</w:t>
      </w:r>
      <w:r w:rsidRPr="006E78B1">
        <w:rPr>
          <w:rFonts w:ascii="Times New Roman" w:hAnsi="Times New Roman"/>
          <w:sz w:val="24"/>
          <w:szCs w:val="24"/>
        </w:rPr>
        <w:t> :</w:t>
      </w:r>
    </w:p>
    <w:p w:rsidR="00EE0E73" w:rsidRPr="006E78B1" w:rsidRDefault="00EE0E73" w:rsidP="00BC5685">
      <w:pPr>
        <w:spacing w:after="0" w:line="240" w:lineRule="auto"/>
        <w:jc w:val="both"/>
        <w:rPr>
          <w:rFonts w:ascii="Times New Roman" w:hAnsi="Times New Roman"/>
          <w:sz w:val="24"/>
          <w:szCs w:val="24"/>
        </w:rPr>
      </w:pPr>
      <w:r w:rsidRPr="006E78B1">
        <w:rPr>
          <w:rFonts w:ascii="Times New Roman" w:hAnsi="Times New Roman"/>
          <w:sz w:val="24"/>
          <w:szCs w:val="24"/>
        </w:rPr>
        <w:t>Les augmentations générales de loyer ne sont pas uniquement liées aux travaux d’efficacité énergétique et sont donc proratisées par rapport au coût total du projet. En revanche, les ressources propres à l’efficacité énergétique ne sont pas proratisées.</w:t>
      </w:r>
    </w:p>
    <w:p w:rsidR="00E1378C" w:rsidRPr="006E78B1" w:rsidRDefault="00E1378C" w:rsidP="00BC5685">
      <w:pPr>
        <w:spacing w:after="0" w:line="240" w:lineRule="auto"/>
        <w:jc w:val="both"/>
        <w:rPr>
          <w:rFonts w:ascii="Times New Roman" w:hAnsi="Times New Roman"/>
          <w:sz w:val="24"/>
          <w:szCs w:val="24"/>
        </w:rPr>
      </w:pPr>
    </w:p>
    <w:p w:rsidR="00EE0E73" w:rsidRPr="006E78B1" w:rsidRDefault="00EE0E73" w:rsidP="00BC5685">
      <w:pPr>
        <w:spacing w:after="0" w:line="240" w:lineRule="auto"/>
        <w:jc w:val="both"/>
        <w:rPr>
          <w:rFonts w:ascii="Times New Roman" w:hAnsi="Times New Roman"/>
          <w:sz w:val="24"/>
          <w:szCs w:val="24"/>
        </w:rPr>
      </w:pPr>
      <w:r w:rsidRPr="006E78B1">
        <w:rPr>
          <w:rFonts w:ascii="Times New Roman" w:hAnsi="Times New Roman"/>
          <w:sz w:val="24"/>
          <w:szCs w:val="24"/>
          <w:u w:val="single"/>
        </w:rPr>
        <w:t>Pour la partie coûts</w:t>
      </w:r>
      <w:r w:rsidRPr="006E78B1">
        <w:rPr>
          <w:rFonts w:ascii="Times New Roman" w:hAnsi="Times New Roman"/>
          <w:sz w:val="24"/>
          <w:szCs w:val="24"/>
        </w:rPr>
        <w:t> :</w:t>
      </w:r>
    </w:p>
    <w:p w:rsidR="00EE0E73" w:rsidRPr="006E78B1" w:rsidRDefault="00EE0E73" w:rsidP="00BC5685">
      <w:pPr>
        <w:spacing w:after="0" w:line="240" w:lineRule="auto"/>
        <w:jc w:val="both"/>
        <w:rPr>
          <w:rFonts w:ascii="Times New Roman" w:hAnsi="Times New Roman"/>
          <w:sz w:val="24"/>
          <w:szCs w:val="24"/>
        </w:rPr>
      </w:pPr>
      <w:r w:rsidRPr="006E78B1">
        <w:rPr>
          <w:rFonts w:ascii="Times New Roman" w:hAnsi="Times New Roman"/>
          <w:sz w:val="24"/>
          <w:szCs w:val="24"/>
        </w:rPr>
        <w:t>Les charges d’intérêt sont calculées sur le montant des prêts affectés au plan de financement FEDER. Le coût de la garantie des emprunts s’ajoute aux coûts de l’opération.</w:t>
      </w:r>
    </w:p>
    <w:p w:rsidR="00E1378C" w:rsidRPr="006E78B1" w:rsidRDefault="00E1378C" w:rsidP="00BC5685">
      <w:pPr>
        <w:spacing w:after="0" w:line="240" w:lineRule="auto"/>
        <w:jc w:val="both"/>
        <w:rPr>
          <w:rFonts w:ascii="Times New Roman" w:hAnsi="Times New Roman"/>
          <w:sz w:val="24"/>
          <w:szCs w:val="24"/>
        </w:rPr>
      </w:pPr>
    </w:p>
    <w:p w:rsidR="00931A07" w:rsidRPr="006E78B1" w:rsidRDefault="00EE0E73" w:rsidP="00BC5685">
      <w:pPr>
        <w:spacing w:after="0" w:line="240" w:lineRule="auto"/>
        <w:jc w:val="both"/>
        <w:rPr>
          <w:rFonts w:ascii="Times New Roman" w:hAnsi="Times New Roman"/>
          <w:sz w:val="24"/>
          <w:szCs w:val="24"/>
        </w:rPr>
      </w:pPr>
      <w:r w:rsidRPr="006E78B1">
        <w:rPr>
          <w:rFonts w:ascii="Times New Roman" w:hAnsi="Times New Roman"/>
          <w:sz w:val="24"/>
          <w:szCs w:val="24"/>
        </w:rPr>
        <w:t>La compensation est donc le résultat de la différence entre les coûts et les recettes plus le bénéfice raisonnable calculé sur les fonds apportés par le bailleur. Les subventions accordées par les collectivités locales sont forfaitaires selon le gain énergétique et le nombre de logements rénovés.</w:t>
      </w:r>
    </w:p>
    <w:p w:rsidR="00931A07" w:rsidRPr="006E78B1" w:rsidRDefault="00931A07" w:rsidP="00BC5685">
      <w:pPr>
        <w:spacing w:after="0" w:line="240" w:lineRule="auto"/>
        <w:jc w:val="both"/>
        <w:rPr>
          <w:rFonts w:ascii="Times New Roman" w:hAnsi="Times New Roman"/>
          <w:sz w:val="24"/>
          <w:szCs w:val="24"/>
        </w:rPr>
      </w:pPr>
    </w:p>
    <w:p w:rsidR="00E1378C" w:rsidRPr="006E78B1" w:rsidRDefault="00931A07" w:rsidP="00BC5685">
      <w:pPr>
        <w:spacing w:after="0" w:line="240" w:lineRule="auto"/>
        <w:jc w:val="both"/>
        <w:rPr>
          <w:rFonts w:ascii="Times New Roman" w:hAnsi="Times New Roman"/>
          <w:sz w:val="24"/>
          <w:szCs w:val="24"/>
        </w:rPr>
      </w:pPr>
      <w:r w:rsidRPr="006E78B1">
        <w:rPr>
          <w:rFonts w:ascii="Times New Roman" w:hAnsi="Times New Roman"/>
          <w:sz w:val="24"/>
          <w:szCs w:val="24"/>
        </w:rPr>
        <w:t xml:space="preserve">Toutefois, cette méthode ne couvre pas l'ensemble des dépenses réalisées lors des travaux de réhabilitation encourus et ne calcule que les montants dévolus à la performance énergétique. Cette somme est par conséquent inférieure au coût total des interventions et l'utilisation du prorata partiel (prise en compte des dépenses en rénovation thermique) tel quel ne permet pas le recours au FEDER pour les projets inscrits (voir exemple concret de </w:t>
      </w:r>
      <w:proofErr w:type="spellStart"/>
      <w:r w:rsidRPr="006E78B1">
        <w:rPr>
          <w:rFonts w:ascii="Times New Roman" w:hAnsi="Times New Roman"/>
          <w:sz w:val="24"/>
          <w:szCs w:val="24"/>
        </w:rPr>
        <w:t>Hunigue</w:t>
      </w:r>
      <w:proofErr w:type="spellEnd"/>
      <w:r w:rsidRPr="006E78B1">
        <w:rPr>
          <w:rFonts w:ascii="Times New Roman" w:hAnsi="Times New Roman"/>
          <w:sz w:val="24"/>
          <w:szCs w:val="24"/>
        </w:rPr>
        <w:t>).</w:t>
      </w:r>
    </w:p>
    <w:p w:rsidR="00E1378C" w:rsidRPr="006E78B1" w:rsidRDefault="00E1378C" w:rsidP="00BC5685">
      <w:pPr>
        <w:spacing w:after="0" w:line="240" w:lineRule="auto"/>
        <w:jc w:val="both"/>
        <w:rPr>
          <w:rFonts w:ascii="Times New Roman" w:hAnsi="Times New Roman"/>
          <w:sz w:val="24"/>
          <w:szCs w:val="24"/>
        </w:rPr>
      </w:pPr>
    </w:p>
    <w:p w:rsidR="00EE0E73" w:rsidRPr="006E78B1" w:rsidRDefault="00EE0E73" w:rsidP="00BC5685">
      <w:pPr>
        <w:numPr>
          <w:ilvl w:val="0"/>
          <w:numId w:val="4"/>
        </w:numPr>
        <w:spacing w:after="0" w:line="240" w:lineRule="auto"/>
        <w:jc w:val="both"/>
        <w:rPr>
          <w:rFonts w:ascii="Times New Roman" w:hAnsi="Times New Roman"/>
          <w:b/>
          <w:sz w:val="24"/>
          <w:szCs w:val="24"/>
        </w:rPr>
      </w:pPr>
      <w:r w:rsidRPr="006E78B1">
        <w:rPr>
          <w:rFonts w:ascii="Times New Roman" w:hAnsi="Times New Roman"/>
          <w:b/>
          <w:sz w:val="24"/>
          <w:szCs w:val="24"/>
        </w:rPr>
        <w:t>Méthodologies alternatives examinées:</w:t>
      </w:r>
    </w:p>
    <w:p w:rsidR="00EE0E73" w:rsidRPr="006E78B1" w:rsidRDefault="00E1378C" w:rsidP="00BC5685">
      <w:pPr>
        <w:pStyle w:val="Paragraphedeliste"/>
        <w:spacing w:before="240"/>
        <w:ind w:left="0"/>
        <w:jc w:val="both"/>
        <w:rPr>
          <w:rFonts w:ascii="Times New Roman" w:hAnsi="Times New Roman"/>
          <w:sz w:val="24"/>
          <w:szCs w:val="24"/>
          <w:u w:val="single"/>
        </w:rPr>
      </w:pPr>
      <w:r w:rsidRPr="006E78B1">
        <w:rPr>
          <w:rFonts w:ascii="Times New Roman" w:hAnsi="Times New Roman"/>
          <w:sz w:val="24"/>
          <w:szCs w:val="24"/>
          <w:u w:val="single"/>
        </w:rPr>
        <w:t>Alternative proposée: Calcul global de la compensation</w:t>
      </w:r>
    </w:p>
    <w:p w:rsidR="00EF133C" w:rsidRPr="006E78B1" w:rsidRDefault="00EF133C" w:rsidP="00BC5685">
      <w:pPr>
        <w:pStyle w:val="doc-ti"/>
        <w:jc w:val="both"/>
        <w:rPr>
          <w:b w:val="0"/>
        </w:rPr>
      </w:pPr>
      <w:r w:rsidRPr="006E78B1">
        <w:rPr>
          <w:b w:val="0"/>
        </w:rPr>
        <w:t>Si l'on opte pour l'ensemble des travaux, à l'instar des grands projets (RÈGLEMENT D'EXÉCUTION (UE) 2015/207 DE LA COMMISSION du 20</w:t>
      </w:r>
      <w:r w:rsidR="006E78B1" w:rsidRPr="006E78B1">
        <w:rPr>
          <w:b w:val="0"/>
        </w:rPr>
        <w:t> </w:t>
      </w:r>
      <w:r w:rsidRPr="006E78B1">
        <w:rPr>
          <w:b w:val="0"/>
        </w:rPr>
        <w:t>janvier 2015) et plus particulièrement la section "</w:t>
      </w:r>
      <w:r w:rsidRPr="006E78B1">
        <w:rPr>
          <w:color w:val="000000"/>
        </w:rPr>
        <w:t xml:space="preserve">C.3. </w:t>
      </w:r>
      <w:r w:rsidRPr="006E78B1">
        <w:rPr>
          <w:rStyle w:val="bold"/>
          <w:b/>
          <w:color w:val="000000"/>
        </w:rPr>
        <w:t>Calcul du coût total éligible"</w:t>
      </w:r>
      <w:r w:rsidRPr="006E78B1">
        <w:t xml:space="preserve">, </w:t>
      </w:r>
      <w:r w:rsidRPr="006E78B1">
        <w:rPr>
          <w:b w:val="0"/>
        </w:rPr>
        <w:t xml:space="preserve">le calcul de la compensation s’effectue sur le coût total de l’opération sans distinguer les dépenses relevant </w:t>
      </w:r>
      <w:r w:rsidRPr="006E78B1">
        <w:rPr>
          <w:b w:val="0"/>
        </w:rPr>
        <w:lastRenderedPageBreak/>
        <w:t xml:space="preserve">de l’efficacité énergétique des autres dépenses d’amélioration des logements et </w:t>
      </w:r>
      <w:r w:rsidRPr="006E78B1">
        <w:rPr>
          <w:b w:val="0"/>
          <w:u w:val="single"/>
        </w:rPr>
        <w:t xml:space="preserve">permet ainsi l'utilisation du FEDER. </w:t>
      </w:r>
    </w:p>
    <w:p w:rsidR="006161DA" w:rsidRPr="006E78B1" w:rsidRDefault="00EF133C" w:rsidP="00BC5685">
      <w:pPr>
        <w:spacing w:line="240" w:lineRule="auto"/>
        <w:jc w:val="both"/>
        <w:rPr>
          <w:rFonts w:ascii="Times New Roman" w:hAnsi="Times New Roman"/>
          <w:sz w:val="24"/>
          <w:szCs w:val="24"/>
        </w:rPr>
      </w:pPr>
      <w:r w:rsidRPr="006E78B1">
        <w:rPr>
          <w:rFonts w:ascii="Times New Roman" w:hAnsi="Times New Roman"/>
          <w:sz w:val="24"/>
          <w:szCs w:val="24"/>
        </w:rPr>
        <w:t xml:space="preserve">Si l'on opte pour la </w:t>
      </w:r>
      <w:proofErr w:type="spellStart"/>
      <w:r w:rsidRPr="006E78B1">
        <w:rPr>
          <w:rFonts w:ascii="Times New Roman" w:hAnsi="Times New Roman"/>
          <w:sz w:val="24"/>
          <w:szCs w:val="24"/>
        </w:rPr>
        <w:t>proratisation</w:t>
      </w:r>
      <w:proofErr w:type="spellEnd"/>
      <w:r w:rsidRPr="006E78B1">
        <w:rPr>
          <w:rFonts w:ascii="Times New Roman" w:hAnsi="Times New Roman"/>
          <w:sz w:val="24"/>
          <w:szCs w:val="24"/>
        </w:rPr>
        <w:t xml:space="preserve">, le calcul de surcompensation </w:t>
      </w:r>
      <w:r w:rsidRPr="006E78B1">
        <w:rPr>
          <w:rFonts w:ascii="Times New Roman" w:hAnsi="Times New Roman"/>
          <w:sz w:val="24"/>
          <w:szCs w:val="24"/>
          <w:u w:val="single"/>
        </w:rPr>
        <w:t xml:space="preserve">ne permet pas d'utiliser le FEDER </w:t>
      </w:r>
      <w:r w:rsidRPr="006E78B1">
        <w:rPr>
          <w:rFonts w:ascii="Times New Roman" w:hAnsi="Times New Roman"/>
          <w:sz w:val="24"/>
          <w:szCs w:val="24"/>
        </w:rPr>
        <w:t xml:space="preserve">parce que ce calcul prend en compte le coût total de l’opération de rénovation des logements et le montant de l’assiette éligible FEDER. Le principe consiste à ne pas proratiser les recettes et les coûts liés à l’efficacité énergétique. Par contre, lorsque les recettes ou les coûts ne sont pas affectés, ils sont proratisés. </w:t>
      </w:r>
    </w:p>
    <w:p w:rsidR="006E49B7" w:rsidRPr="006E78B1" w:rsidRDefault="00A8571F" w:rsidP="00A8571F">
      <w:pPr>
        <w:spacing w:after="0"/>
        <w:jc w:val="both"/>
        <w:rPr>
          <w:rFonts w:ascii="Times New Roman" w:hAnsi="Times New Roman"/>
          <w:b/>
          <w:sz w:val="24"/>
          <w:szCs w:val="24"/>
        </w:rPr>
      </w:pPr>
      <w:r w:rsidRPr="006E78B1">
        <w:rPr>
          <w:rFonts w:ascii="Times New Roman" w:hAnsi="Times New Roman"/>
          <w:b/>
          <w:sz w:val="24"/>
          <w:szCs w:val="24"/>
        </w:rPr>
        <w:t xml:space="preserve">Comment ces subventions doivent-elles apparaître dans le plan de financement européen ? </w:t>
      </w:r>
    </w:p>
    <w:p w:rsidR="00A8571F" w:rsidRPr="006E78B1" w:rsidRDefault="00A8571F" w:rsidP="00A8571F">
      <w:pPr>
        <w:spacing w:after="0"/>
        <w:jc w:val="both"/>
        <w:rPr>
          <w:rFonts w:ascii="Times New Roman" w:hAnsi="Times New Roman"/>
          <w:b/>
          <w:sz w:val="24"/>
          <w:szCs w:val="24"/>
        </w:rPr>
      </w:pPr>
      <w:r w:rsidRPr="006E78B1">
        <w:rPr>
          <w:rFonts w:ascii="Times New Roman" w:hAnsi="Times New Roman"/>
          <w:b/>
          <w:sz w:val="24"/>
          <w:szCs w:val="24"/>
        </w:rPr>
        <w:t>Faut-il retenir le montant total ou proratiser la subvention selon le ratio coût FEDER / coût total ?</w:t>
      </w:r>
    </w:p>
    <w:p w:rsidR="00A8571F" w:rsidRPr="006E78B1" w:rsidRDefault="00A8571F" w:rsidP="00A8571F">
      <w:pPr>
        <w:spacing w:after="0"/>
        <w:jc w:val="both"/>
        <w:rPr>
          <w:rFonts w:ascii="Times New Roman" w:hAnsi="Times New Roman"/>
          <w:b/>
          <w:i/>
          <w:sz w:val="24"/>
          <w:szCs w:val="24"/>
        </w:rPr>
      </w:pPr>
    </w:p>
    <w:p w:rsidR="00EF133C" w:rsidRPr="006E78B1" w:rsidRDefault="00A3477D" w:rsidP="00BC5685">
      <w:pPr>
        <w:pStyle w:val="Signature"/>
        <w:spacing w:before="0"/>
        <w:ind w:left="0"/>
        <w:jc w:val="left"/>
        <w:rPr>
          <w:b/>
          <w:szCs w:val="24"/>
          <w:u w:val="single"/>
        </w:rPr>
      </w:pPr>
      <w:r w:rsidRPr="006E78B1">
        <w:rPr>
          <w:b/>
          <w:szCs w:val="24"/>
          <w:u w:val="single"/>
        </w:rPr>
        <w:t>Réponse:</w:t>
      </w:r>
    </w:p>
    <w:p w:rsidR="00BC5685" w:rsidRPr="006E78B1" w:rsidRDefault="00BC5685" w:rsidP="00E541B5">
      <w:pPr>
        <w:jc w:val="both"/>
        <w:rPr>
          <w:rFonts w:ascii="Times New Roman" w:hAnsi="Times New Roman"/>
          <w:sz w:val="24"/>
          <w:szCs w:val="24"/>
        </w:rPr>
      </w:pPr>
    </w:p>
    <w:p w:rsidR="00E4205D" w:rsidRPr="006E78B1" w:rsidRDefault="00C31D3D" w:rsidP="00E541B5">
      <w:pPr>
        <w:pStyle w:val="Signature"/>
        <w:spacing w:before="0" w:line="276" w:lineRule="auto"/>
        <w:ind w:left="0"/>
        <w:jc w:val="both"/>
        <w:rPr>
          <w:rFonts w:eastAsia="Calibri"/>
          <w:szCs w:val="24"/>
        </w:rPr>
      </w:pPr>
      <w:r w:rsidRPr="006E78B1">
        <w:rPr>
          <w:szCs w:val="24"/>
        </w:rPr>
        <w:t xml:space="preserve">Comme indiqué plus haut, les autorités françaises ont l’intention d’utiliser le FEDER pour soutenir des opérations portant sur des logements sociaux. Les coûts de ces opérations qui sont éligibles au titre du FEDER seront limités aux coûts liés à l’efficacité énergétique, étant précisé que le coût total des opérations comprendra également d’autres coûts de rénovation. Les aides publiques en faveur d’opérations de ce type sont considérées comme des aides d’État et seront accordées en vertu de la décision 2012/21/UE de la Commission relative aux aides d’État sous forme de compensations de service public octroyées à certaines entreprises chargées de la gestion de services d’intérêt économique général (ci-après «la décision SIEG»). D’autres aides publiques soutenant ces opérations mais ne relevant pas du FEDER sont envisagées à partir de sources nationales. </w:t>
      </w:r>
    </w:p>
    <w:p w:rsidR="00E4205D" w:rsidRPr="006E78B1" w:rsidRDefault="00E4205D" w:rsidP="00E541B5">
      <w:pPr>
        <w:pStyle w:val="Signature"/>
        <w:spacing w:before="0" w:line="276" w:lineRule="auto"/>
        <w:ind w:left="0"/>
        <w:jc w:val="both"/>
        <w:rPr>
          <w:rFonts w:eastAsia="Calibri"/>
          <w:szCs w:val="24"/>
        </w:rPr>
      </w:pPr>
    </w:p>
    <w:p w:rsidR="00EF133C" w:rsidRPr="006E78B1" w:rsidRDefault="008A5043" w:rsidP="00E541B5">
      <w:pPr>
        <w:pStyle w:val="Signature"/>
        <w:spacing w:before="0" w:line="276" w:lineRule="auto"/>
        <w:ind w:left="0"/>
        <w:jc w:val="both"/>
        <w:rPr>
          <w:rFonts w:eastAsia="Calibri"/>
          <w:szCs w:val="24"/>
        </w:rPr>
      </w:pPr>
      <w:r w:rsidRPr="006E78B1">
        <w:rPr>
          <w:szCs w:val="24"/>
        </w:rPr>
        <w:t xml:space="preserve">La question porte sur le montant (maximal) autorisé du soutien du FEDER pouvant être octroyé pour ce type d’opérations conformément aux articles 61 et 65 (règles gouvernant les projets générateurs de recettes nettes) du règlement (UE) nº 1303/2013 (RDC) et aux règles relatives aux aides d’État. Le principal doute tient au fait que le montant maximal des aides d’État est calculé sur la base du coût total, tandis que les dépenses éligibles au titre du FEDER se limitent à la catégorie de coûts liés uniquement à l’efficacité énergétique. En particulier: pour que la contribution du FEDER puisse être considérée conforme à la législation applicable en matière d’aides d’État, le plafond global des aides d’État est-il le seul plafond applicable ou convient-il de fixer un plafond inférieur sur la base de la proportion des coûts éligibles au titre du FEDER dans le coût total? Dans le second cas de figure, de quelle manière convient-il d’effectuer la diminution proportionnelle du plafond? </w:t>
      </w:r>
    </w:p>
    <w:p w:rsidR="00BB5490" w:rsidRPr="006E78B1" w:rsidRDefault="00BB5490" w:rsidP="00E541B5">
      <w:pPr>
        <w:jc w:val="both"/>
        <w:rPr>
          <w:rFonts w:ascii="Times New Roman" w:hAnsi="Times New Roman"/>
          <w:sz w:val="24"/>
          <w:szCs w:val="24"/>
        </w:rPr>
      </w:pPr>
    </w:p>
    <w:p w:rsidR="007E4D94" w:rsidRPr="006E78B1" w:rsidRDefault="006D47E8" w:rsidP="00E541B5">
      <w:pPr>
        <w:jc w:val="both"/>
        <w:rPr>
          <w:rFonts w:ascii="Times New Roman" w:hAnsi="Times New Roman"/>
          <w:sz w:val="24"/>
          <w:szCs w:val="24"/>
        </w:rPr>
      </w:pPr>
      <w:r w:rsidRPr="006E78B1">
        <w:rPr>
          <w:rFonts w:ascii="Times New Roman" w:hAnsi="Times New Roman"/>
          <w:sz w:val="24"/>
          <w:szCs w:val="24"/>
        </w:rPr>
        <w:t>Conformément aux articles 5 et</w:t>
      </w:r>
      <w:r w:rsidR="006E78B1" w:rsidRPr="006E78B1">
        <w:rPr>
          <w:rFonts w:ascii="Times New Roman" w:hAnsi="Times New Roman"/>
          <w:sz w:val="24"/>
          <w:szCs w:val="24"/>
        </w:rPr>
        <w:t> </w:t>
      </w:r>
      <w:r w:rsidRPr="006E78B1">
        <w:rPr>
          <w:rFonts w:ascii="Times New Roman" w:hAnsi="Times New Roman"/>
          <w:sz w:val="24"/>
          <w:szCs w:val="24"/>
        </w:rPr>
        <w:t>6 de la décision SIEG, la vérification individuelle des besoins de financement constitue toujours une obligation imposée par la législation applicable en matière d’aides d’État. Par conséquent, les opérations en question relèvent de l’exemption visée à l’article 61, paragraphe 8, point c) du règlement portant dispositions communes, et les paragraphes 1 à</w:t>
      </w:r>
      <w:r w:rsidR="006E78B1" w:rsidRPr="006E78B1">
        <w:rPr>
          <w:rFonts w:ascii="Times New Roman" w:hAnsi="Times New Roman"/>
          <w:sz w:val="24"/>
          <w:szCs w:val="24"/>
        </w:rPr>
        <w:t> </w:t>
      </w:r>
      <w:r w:rsidRPr="006E78B1">
        <w:rPr>
          <w:rFonts w:ascii="Times New Roman" w:hAnsi="Times New Roman"/>
          <w:sz w:val="24"/>
          <w:szCs w:val="24"/>
        </w:rPr>
        <w:t>6 de l’article 61 susmentionné ne s’appliquent pas. Cette conclusion restera valable après l’entrée en vigueur du règlement «omnibus» qui devrait étendre l’exemption à tous les projets d’aides d’État, que la vérification individuelle soit obligatoire ou non.</w:t>
      </w:r>
    </w:p>
    <w:p w:rsidR="00DE3D4E" w:rsidRPr="006E78B1" w:rsidRDefault="00DE3D4E" w:rsidP="00E541B5">
      <w:pPr>
        <w:jc w:val="both"/>
        <w:rPr>
          <w:rFonts w:ascii="Times New Roman" w:hAnsi="Times New Roman"/>
          <w:sz w:val="24"/>
          <w:szCs w:val="24"/>
        </w:rPr>
      </w:pPr>
      <w:r w:rsidRPr="006E78B1">
        <w:rPr>
          <w:rFonts w:ascii="Times New Roman" w:hAnsi="Times New Roman"/>
          <w:sz w:val="24"/>
          <w:szCs w:val="24"/>
        </w:rPr>
        <w:lastRenderedPageBreak/>
        <w:t>Dès lors, les articles 15 à</w:t>
      </w:r>
      <w:r w:rsidR="006E78B1" w:rsidRPr="006E78B1">
        <w:rPr>
          <w:rFonts w:ascii="Times New Roman" w:hAnsi="Times New Roman"/>
          <w:sz w:val="24"/>
          <w:szCs w:val="24"/>
        </w:rPr>
        <w:t> </w:t>
      </w:r>
      <w:r w:rsidRPr="006E78B1">
        <w:rPr>
          <w:rFonts w:ascii="Times New Roman" w:hAnsi="Times New Roman"/>
          <w:sz w:val="24"/>
          <w:szCs w:val="24"/>
        </w:rPr>
        <w:t xml:space="preserve">19 du règlement délégué (UE) nº 480/2014 de la Commission, ainsi que les dispositions de l’annexe II du règlement d’exécution (UE) nº 2015/207 de la Commission relatifs à la bonne application de l’article 61 du règlement portant dispositions communes, notamment celles figurant à la section C.3 de l’annexe II, ne sont pas non plus pertinents. </w:t>
      </w:r>
    </w:p>
    <w:p w:rsidR="00340315" w:rsidRPr="006E78B1" w:rsidRDefault="007E4D94" w:rsidP="00E541B5">
      <w:pPr>
        <w:jc w:val="both"/>
        <w:rPr>
          <w:rFonts w:ascii="Times New Roman" w:hAnsi="Times New Roman"/>
          <w:sz w:val="24"/>
          <w:szCs w:val="24"/>
        </w:rPr>
      </w:pPr>
      <w:r w:rsidRPr="006E78B1">
        <w:rPr>
          <w:rFonts w:ascii="Times New Roman" w:hAnsi="Times New Roman"/>
          <w:sz w:val="24"/>
          <w:szCs w:val="24"/>
        </w:rPr>
        <w:t>De plus, l’article 65, paragraphe 8, point e), exclut explicitement du champ d’application de cette disposition les opérations soumises aux règles gouvernant les aides d’État.</w:t>
      </w:r>
    </w:p>
    <w:p w:rsidR="000F74D2" w:rsidRPr="006E78B1" w:rsidRDefault="00340315" w:rsidP="00E541B5">
      <w:pPr>
        <w:jc w:val="both"/>
        <w:rPr>
          <w:rFonts w:ascii="Times New Roman" w:hAnsi="Times New Roman"/>
          <w:sz w:val="24"/>
          <w:szCs w:val="24"/>
        </w:rPr>
      </w:pPr>
      <w:r w:rsidRPr="006E78B1">
        <w:rPr>
          <w:rFonts w:ascii="Times New Roman" w:hAnsi="Times New Roman"/>
          <w:sz w:val="24"/>
          <w:szCs w:val="24"/>
        </w:rPr>
        <w:t>En vertu de l’article 65, paragraphe</w:t>
      </w:r>
      <w:r w:rsidR="006E78B1" w:rsidRPr="006E78B1">
        <w:rPr>
          <w:rFonts w:ascii="Times New Roman" w:hAnsi="Times New Roman"/>
          <w:sz w:val="24"/>
          <w:szCs w:val="24"/>
        </w:rPr>
        <w:t> </w:t>
      </w:r>
      <w:r w:rsidRPr="006E78B1">
        <w:rPr>
          <w:rFonts w:ascii="Times New Roman" w:hAnsi="Times New Roman"/>
          <w:sz w:val="24"/>
          <w:szCs w:val="24"/>
        </w:rPr>
        <w:t>1, du règlement portant dispositions communes, l’éligibilité d’une dépense est déterminée sur la base de règles nationales, sauf si des dispositions spécifiques sont prévues dans le règlement portant dispositions communes ou sur la base de celui-ci, ou dans les règles spécifiques de chaque fonds. Dès lors, sauf si les règles relatives aux aides d’État en disposent autrement, les États membres ne sont pas tenus d’abaisser le plafond des aides d’État pour atteindre la part, dans les coûts totaux, des coûts éligibles au titre du FEDER.</w:t>
      </w:r>
    </w:p>
    <w:p w:rsidR="000E1CA0" w:rsidRPr="006E78B1" w:rsidRDefault="008E2887" w:rsidP="00E541B5">
      <w:pPr>
        <w:jc w:val="both"/>
        <w:rPr>
          <w:rFonts w:ascii="Times New Roman" w:hAnsi="Times New Roman"/>
          <w:sz w:val="24"/>
          <w:szCs w:val="24"/>
        </w:rPr>
      </w:pPr>
      <w:r w:rsidRPr="006E78B1">
        <w:rPr>
          <w:rFonts w:ascii="Times New Roman" w:hAnsi="Times New Roman"/>
          <w:sz w:val="24"/>
          <w:szCs w:val="24"/>
        </w:rPr>
        <w:t xml:space="preserve">Conformément à l’article 6 du règlement portant dispositions communes, les opérations soutenues par le FEDER doivent respecter la législation applicable qui comprend les dispositions applicables en matière d’aides d’État. Lorsque les dispositions applicables en matière d’aides d’État font référence à des aides publiques sans faire de distinction entre les sources de financement, il suffit que le montant </w:t>
      </w:r>
      <w:r w:rsidRPr="006E78B1">
        <w:rPr>
          <w:rFonts w:ascii="Times New Roman" w:hAnsi="Times New Roman"/>
          <w:sz w:val="24"/>
          <w:szCs w:val="24"/>
          <w:u w:val="single"/>
        </w:rPr>
        <w:t>total</w:t>
      </w:r>
      <w:r w:rsidRPr="006E78B1">
        <w:rPr>
          <w:rFonts w:ascii="Times New Roman" w:hAnsi="Times New Roman"/>
          <w:sz w:val="24"/>
          <w:szCs w:val="24"/>
        </w:rPr>
        <w:t xml:space="preserve"> de l’aide publique (FEDER+ autres sources) reste dans les limites imposées pour les aides d’État. Si tel est le cas, la part des coûts éligibles au titre du FEDER est dénuée de pertinence pour le calcul des plafonds des aides d’État.</w:t>
      </w:r>
    </w:p>
    <w:p w:rsidR="00DE3D4E" w:rsidRPr="006E78B1" w:rsidRDefault="004075A6" w:rsidP="00E541B5">
      <w:pPr>
        <w:jc w:val="both"/>
        <w:rPr>
          <w:rFonts w:ascii="Times New Roman" w:hAnsi="Times New Roman"/>
          <w:sz w:val="24"/>
          <w:szCs w:val="24"/>
        </w:rPr>
      </w:pPr>
      <w:r w:rsidRPr="006E78B1">
        <w:rPr>
          <w:rFonts w:ascii="Times New Roman" w:hAnsi="Times New Roman"/>
          <w:sz w:val="24"/>
          <w:szCs w:val="24"/>
        </w:rPr>
        <w:t>Dès lors, sauf si les règles nationales en disposent autrement, il n’est pas nécessaire de proratiser les recettes, ni les frais d’exploitation ou tout autre élément du calcul. Tant que le soutien du FEDER n’excède pas le plafond des dépenses publiques prévu par les règles applicables en matière d’aides d’État, l’autorité de gestion ne sera limitée que par le fait que seules les dépenses éligibles peuvent être déclarées.</w:t>
      </w:r>
    </w:p>
    <w:p w:rsidR="006E6DBC" w:rsidRPr="006E78B1" w:rsidRDefault="006E6DBC" w:rsidP="00E541B5">
      <w:pPr>
        <w:jc w:val="both"/>
        <w:rPr>
          <w:rFonts w:ascii="Times New Roman" w:hAnsi="Times New Roman"/>
          <w:sz w:val="24"/>
          <w:szCs w:val="24"/>
        </w:rPr>
      </w:pPr>
      <w:r w:rsidRPr="006E78B1">
        <w:rPr>
          <w:rFonts w:ascii="Times New Roman" w:hAnsi="Times New Roman"/>
          <w:sz w:val="24"/>
          <w:szCs w:val="24"/>
        </w:rPr>
        <w:t>Les simples exemples chiffrés suivants illustrent l’éventail de possibilités à la disposition des autorités de gestion. Dans tous les cas, lorsqu’une aide publique nationale a déjà été accordée ou le sera hors du FEDER, elle doit être déduite du montant maximal pouvant être octroyé au titre du FEDER.</w:t>
      </w:r>
    </w:p>
    <w:p w:rsidR="00DE3D4E" w:rsidRPr="006E78B1" w:rsidRDefault="006E6DBC" w:rsidP="00E541B5">
      <w:pPr>
        <w:jc w:val="both"/>
        <w:rPr>
          <w:rFonts w:ascii="Times New Roman" w:hAnsi="Times New Roman"/>
          <w:sz w:val="24"/>
          <w:szCs w:val="24"/>
          <w:u w:val="single"/>
        </w:rPr>
      </w:pPr>
      <w:r w:rsidRPr="006E78B1">
        <w:rPr>
          <w:rFonts w:ascii="Times New Roman" w:hAnsi="Times New Roman"/>
          <w:sz w:val="24"/>
          <w:szCs w:val="24"/>
          <w:u w:val="single"/>
        </w:rPr>
        <w:t>Cas de figure nº 1</w:t>
      </w:r>
    </w:p>
    <w:p w:rsidR="00511BBF" w:rsidRPr="006E78B1" w:rsidRDefault="006E6DBC" w:rsidP="00E541B5">
      <w:pPr>
        <w:jc w:val="both"/>
        <w:rPr>
          <w:rFonts w:ascii="Times New Roman" w:hAnsi="Times New Roman"/>
          <w:sz w:val="24"/>
          <w:szCs w:val="24"/>
        </w:rPr>
      </w:pPr>
      <w:r w:rsidRPr="006E78B1">
        <w:rPr>
          <w:rFonts w:ascii="Times New Roman" w:hAnsi="Times New Roman"/>
          <w:sz w:val="24"/>
          <w:szCs w:val="24"/>
        </w:rPr>
        <w:t xml:space="preserve">Coût total = 300; Coûts éligibles au titre du FEDER = 100; Plafond des aides d’État = 150. </w:t>
      </w:r>
    </w:p>
    <w:p w:rsidR="00511BBF" w:rsidRPr="006E78B1" w:rsidRDefault="00511BBF" w:rsidP="00E541B5">
      <w:pPr>
        <w:jc w:val="both"/>
        <w:rPr>
          <w:rFonts w:ascii="Times New Roman" w:hAnsi="Times New Roman"/>
          <w:sz w:val="24"/>
          <w:szCs w:val="24"/>
        </w:rPr>
      </w:pPr>
      <w:r w:rsidRPr="006E78B1">
        <w:rPr>
          <w:rFonts w:ascii="Times New Roman" w:hAnsi="Times New Roman"/>
          <w:sz w:val="24"/>
          <w:szCs w:val="24"/>
        </w:rPr>
        <w:t>Dépenses éligibles maximales pouvant être déclarées = 100</w:t>
      </w:r>
    </w:p>
    <w:p w:rsidR="00914B23" w:rsidRPr="006E78B1" w:rsidRDefault="00511BBF" w:rsidP="00E541B5">
      <w:pPr>
        <w:jc w:val="both"/>
        <w:rPr>
          <w:rFonts w:ascii="Times New Roman" w:hAnsi="Times New Roman"/>
          <w:sz w:val="24"/>
          <w:szCs w:val="24"/>
        </w:rPr>
      </w:pPr>
      <w:r w:rsidRPr="006E78B1">
        <w:rPr>
          <w:rFonts w:ascii="Times New Roman" w:hAnsi="Times New Roman"/>
          <w:sz w:val="24"/>
          <w:szCs w:val="24"/>
        </w:rPr>
        <w:t xml:space="preserve">Montant maximal du FEDER pouvant être versé au bénéficiaire = 100 </w:t>
      </w:r>
    </w:p>
    <w:p w:rsidR="00511BBF" w:rsidRPr="006E78B1" w:rsidRDefault="00511BBF" w:rsidP="00E541B5">
      <w:pPr>
        <w:jc w:val="both"/>
        <w:rPr>
          <w:rFonts w:ascii="Times New Roman" w:hAnsi="Times New Roman"/>
          <w:sz w:val="24"/>
          <w:szCs w:val="24"/>
        </w:rPr>
      </w:pPr>
      <w:r w:rsidRPr="006E78B1">
        <w:rPr>
          <w:rFonts w:ascii="Times New Roman" w:hAnsi="Times New Roman"/>
          <w:sz w:val="24"/>
          <w:szCs w:val="24"/>
        </w:rPr>
        <w:t>(</w:t>
      </w:r>
      <w:proofErr w:type="gramStart"/>
      <w:r w:rsidRPr="006E78B1">
        <w:rPr>
          <w:rFonts w:ascii="Times New Roman" w:hAnsi="Times New Roman"/>
          <w:i/>
          <w:sz w:val="24"/>
          <w:szCs w:val="24"/>
        </w:rPr>
        <w:t>la</w:t>
      </w:r>
      <w:proofErr w:type="gramEnd"/>
      <w:r w:rsidRPr="006E78B1">
        <w:rPr>
          <w:rFonts w:ascii="Times New Roman" w:hAnsi="Times New Roman"/>
          <w:i/>
          <w:sz w:val="24"/>
          <w:szCs w:val="24"/>
        </w:rPr>
        <w:t xml:space="preserve"> Commission remboursera uniquement le montant correspondant au taux de cofinancement de l’axe prioritaire, étant précisé que le taux de cofinancement au niveau du projet est défini au niveau national et que les taux supérieurs sont autorisés à condition d’être compensés par des taux inférieurs dans d’autres opérations</w:t>
      </w:r>
      <w:r w:rsidRPr="006E78B1">
        <w:rPr>
          <w:rFonts w:ascii="Times New Roman" w:hAnsi="Times New Roman"/>
          <w:sz w:val="24"/>
          <w:szCs w:val="24"/>
        </w:rPr>
        <w:t>)</w:t>
      </w:r>
    </w:p>
    <w:p w:rsidR="00511BBF" w:rsidRPr="006E78B1" w:rsidRDefault="0049282E" w:rsidP="00E541B5">
      <w:pPr>
        <w:jc w:val="both"/>
        <w:rPr>
          <w:rFonts w:ascii="Times New Roman" w:hAnsi="Times New Roman"/>
          <w:sz w:val="24"/>
          <w:szCs w:val="24"/>
        </w:rPr>
      </w:pPr>
      <w:r w:rsidRPr="006E78B1">
        <w:rPr>
          <w:rFonts w:ascii="Times New Roman" w:hAnsi="Times New Roman"/>
          <w:sz w:val="24"/>
          <w:szCs w:val="24"/>
        </w:rPr>
        <w:t>Cela signifie que même si le plafond proratisé des aides d’État est égal à 50 (soit 1/3 de 150), il est possible d’octroyer un soutien du FEDER plus élevé.</w:t>
      </w:r>
    </w:p>
    <w:p w:rsidR="00511BBF" w:rsidRPr="006E78B1" w:rsidRDefault="00511BBF" w:rsidP="00E541B5">
      <w:pPr>
        <w:jc w:val="both"/>
        <w:rPr>
          <w:rFonts w:ascii="Times New Roman" w:hAnsi="Times New Roman"/>
          <w:sz w:val="24"/>
          <w:szCs w:val="24"/>
          <w:u w:val="single"/>
        </w:rPr>
      </w:pPr>
      <w:r w:rsidRPr="006E78B1">
        <w:rPr>
          <w:rFonts w:ascii="Times New Roman" w:hAnsi="Times New Roman"/>
          <w:sz w:val="24"/>
          <w:szCs w:val="24"/>
          <w:u w:val="single"/>
        </w:rPr>
        <w:t>Cas de figure nº 2</w:t>
      </w:r>
    </w:p>
    <w:p w:rsidR="00511BBF" w:rsidRPr="006E78B1" w:rsidRDefault="00511BBF" w:rsidP="00511BBF">
      <w:pPr>
        <w:jc w:val="both"/>
        <w:rPr>
          <w:rFonts w:ascii="Times New Roman" w:hAnsi="Times New Roman"/>
          <w:sz w:val="24"/>
          <w:szCs w:val="24"/>
        </w:rPr>
      </w:pPr>
      <w:r w:rsidRPr="006E78B1">
        <w:rPr>
          <w:rFonts w:ascii="Times New Roman" w:hAnsi="Times New Roman"/>
          <w:sz w:val="24"/>
          <w:szCs w:val="24"/>
        </w:rPr>
        <w:t xml:space="preserve">Coût total = 300; Coûts éligibles au titre du FEDER = 100; Plafond des aides d’État = 50. </w:t>
      </w:r>
    </w:p>
    <w:p w:rsidR="00511BBF" w:rsidRPr="006E78B1" w:rsidRDefault="00511BBF" w:rsidP="00511BBF">
      <w:pPr>
        <w:jc w:val="both"/>
        <w:rPr>
          <w:rFonts w:ascii="Times New Roman" w:hAnsi="Times New Roman"/>
          <w:sz w:val="24"/>
          <w:szCs w:val="24"/>
        </w:rPr>
      </w:pPr>
      <w:r w:rsidRPr="006E78B1">
        <w:rPr>
          <w:rFonts w:ascii="Times New Roman" w:hAnsi="Times New Roman"/>
          <w:sz w:val="24"/>
          <w:szCs w:val="24"/>
        </w:rPr>
        <w:t xml:space="preserve">Dépenses éligibles maximales pouvant être déclarées = 100 </w:t>
      </w:r>
    </w:p>
    <w:p w:rsidR="00511BBF" w:rsidRPr="006E78B1" w:rsidRDefault="00511BBF" w:rsidP="00511BBF">
      <w:pPr>
        <w:jc w:val="both"/>
        <w:rPr>
          <w:rFonts w:ascii="Times New Roman" w:hAnsi="Times New Roman"/>
          <w:sz w:val="24"/>
          <w:szCs w:val="24"/>
        </w:rPr>
      </w:pPr>
      <w:r w:rsidRPr="006E78B1">
        <w:rPr>
          <w:rFonts w:ascii="Times New Roman" w:hAnsi="Times New Roman"/>
          <w:sz w:val="24"/>
          <w:szCs w:val="24"/>
        </w:rPr>
        <w:t>Montant maximal du FEDER pouvant être versé au bénéficiaire = 50</w:t>
      </w:r>
    </w:p>
    <w:p w:rsidR="0049282E" w:rsidRPr="006E78B1" w:rsidRDefault="00511BBF" w:rsidP="0049282E">
      <w:pPr>
        <w:jc w:val="both"/>
        <w:rPr>
          <w:rFonts w:ascii="Times New Roman" w:hAnsi="Times New Roman"/>
          <w:sz w:val="24"/>
          <w:szCs w:val="24"/>
        </w:rPr>
      </w:pPr>
      <w:r w:rsidRPr="006E78B1">
        <w:rPr>
          <w:rFonts w:ascii="Times New Roman" w:hAnsi="Times New Roman"/>
          <w:sz w:val="24"/>
          <w:szCs w:val="24"/>
        </w:rPr>
        <w:t>(</w:t>
      </w:r>
      <w:r w:rsidRPr="006E78B1">
        <w:rPr>
          <w:rFonts w:ascii="Times New Roman" w:hAnsi="Times New Roman"/>
          <w:i/>
          <w:sz w:val="24"/>
          <w:szCs w:val="24"/>
        </w:rPr>
        <w:t>Conformément à l’article 130, paragraphe 2, du règlement portant dispositions communes,</w:t>
      </w:r>
      <w:r w:rsidRPr="006E78B1">
        <w:rPr>
          <w:rFonts w:ascii="Times New Roman" w:hAnsi="Times New Roman"/>
          <w:sz w:val="24"/>
          <w:szCs w:val="24"/>
        </w:rPr>
        <w:t xml:space="preserve"> </w:t>
      </w:r>
      <w:r w:rsidRPr="006E78B1">
        <w:rPr>
          <w:rFonts w:ascii="Times New Roman" w:hAnsi="Times New Roman"/>
          <w:i/>
          <w:sz w:val="24"/>
          <w:szCs w:val="24"/>
        </w:rPr>
        <w:t>la Commission remboursera le montant correspondant au taux de cofinancement de l’axe prioritaire ou au montant total des dépenses publiques relevant de l’axe prioritaire à ce stade, si ce montant est inférieur. Dès lors, il est possible que le montant remboursé soit supérieur au montant versé à un bénéficiaire spécifique, mais la différenciation du taux de cofinancement au niveau du projet, lequel est défini au niveau national, ne se traduit jamais par un total de paiements supérieur au total des contributions au projet).</w:t>
      </w:r>
    </w:p>
    <w:sectPr w:rsidR="0049282E" w:rsidRPr="006E78B1" w:rsidSect="00EF133C">
      <w:footerReference w:type="default" r:id="rId13"/>
      <w:headerReference w:type="first" r:id="rId14"/>
      <w:footerReference w:type="first" r:id="rId15"/>
      <w:pgSz w:w="11906" w:h="16838"/>
      <w:pgMar w:top="964" w:right="1531" w:bottom="964" w:left="1474" w:header="601"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F0" w:rsidRDefault="003905F0">
      <w:pPr>
        <w:spacing w:after="0" w:line="240" w:lineRule="auto"/>
      </w:pPr>
      <w:r>
        <w:separator/>
      </w:r>
    </w:p>
  </w:endnote>
  <w:endnote w:type="continuationSeparator" w:id="0">
    <w:p w:rsidR="003905F0" w:rsidRDefault="0039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A8" w:rsidRDefault="000E5EA8">
    <w:pPr>
      <w:pStyle w:val="Pieddepage"/>
      <w:jc w:val="center"/>
    </w:pPr>
    <w:r>
      <w:fldChar w:fldCharType="begin"/>
    </w:r>
    <w:r>
      <w:instrText>PAGE</w:instrText>
    </w:r>
    <w:r>
      <w:fldChar w:fldCharType="separate"/>
    </w:r>
    <w:r w:rsidR="008B676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A8" w:rsidRDefault="000E5EA8">
    <w:pPr>
      <w:pStyle w:val="Pieddepage"/>
      <w:rPr>
        <w:sz w:val="24"/>
        <w:szCs w:val="24"/>
      </w:rPr>
    </w:pPr>
  </w:p>
  <w:p w:rsidR="000E5EA8" w:rsidRDefault="000E5EA8">
    <w:pPr>
      <w:pStyle w:val="Pieddepage"/>
    </w:pPr>
    <w:r>
      <w:t>Commission européenne, 1049 Bruxelles, BELGIQUE - tél. +32 22991111</w:t>
    </w:r>
  </w:p>
  <w:p w:rsidR="000E5EA8" w:rsidRDefault="000E5EA8">
    <w:pPr>
      <w:pStyle w:val="Pieddepage"/>
    </w:pPr>
    <w:r>
      <w:t>http://ec.europa.eu/regional_policy/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F0" w:rsidRDefault="003905F0">
      <w:pPr>
        <w:spacing w:after="0" w:line="240" w:lineRule="auto"/>
      </w:pPr>
      <w:r>
        <w:separator/>
      </w:r>
    </w:p>
  </w:footnote>
  <w:footnote w:type="continuationSeparator" w:id="0">
    <w:p w:rsidR="003905F0" w:rsidRDefault="0039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A8" w:rsidRPr="007035F9" w:rsidRDefault="00DF2151">
    <w:pPr>
      <w:pStyle w:val="En-tte"/>
      <w:spacing w:after="0"/>
      <w:rPr>
        <w:color w:val="FF0000"/>
        <w:sz w:val="20"/>
      </w:rPr>
    </w:pPr>
    <w:r>
      <w:rPr>
        <w:color w:val="FF0000"/>
        <w:sz w:val="20"/>
      </w:rPr>
      <w:t xml:space="preserve">2018/REGIO/03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F35"/>
    <w:multiLevelType w:val="hybridMultilevel"/>
    <w:tmpl w:val="B40E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30988"/>
    <w:multiLevelType w:val="hybridMultilevel"/>
    <w:tmpl w:val="62E8CB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6450789"/>
    <w:multiLevelType w:val="hybridMultilevel"/>
    <w:tmpl w:val="E050F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C5DBB"/>
    <w:rsid w:val="000607B0"/>
    <w:rsid w:val="000A12E0"/>
    <w:rsid w:val="000A3D08"/>
    <w:rsid w:val="000B6554"/>
    <w:rsid w:val="000E1CA0"/>
    <w:rsid w:val="000E5EA8"/>
    <w:rsid w:val="000F74D2"/>
    <w:rsid w:val="001127FA"/>
    <w:rsid w:val="00130300"/>
    <w:rsid w:val="001566EE"/>
    <w:rsid w:val="00185027"/>
    <w:rsid w:val="00197F1C"/>
    <w:rsid w:val="001B4A17"/>
    <w:rsid w:val="00223C0C"/>
    <w:rsid w:val="00270E75"/>
    <w:rsid w:val="002B3089"/>
    <w:rsid w:val="002D0FBA"/>
    <w:rsid w:val="002E617E"/>
    <w:rsid w:val="002F3730"/>
    <w:rsid w:val="003009A5"/>
    <w:rsid w:val="0032404A"/>
    <w:rsid w:val="00340315"/>
    <w:rsid w:val="00371509"/>
    <w:rsid w:val="003905F0"/>
    <w:rsid w:val="003D32F8"/>
    <w:rsid w:val="003D5786"/>
    <w:rsid w:val="003D7CE6"/>
    <w:rsid w:val="004075A6"/>
    <w:rsid w:val="00422E94"/>
    <w:rsid w:val="00437FC0"/>
    <w:rsid w:val="0048496D"/>
    <w:rsid w:val="0049282E"/>
    <w:rsid w:val="004B0F11"/>
    <w:rsid w:val="004D4DD6"/>
    <w:rsid w:val="00511BBF"/>
    <w:rsid w:val="00556592"/>
    <w:rsid w:val="00556852"/>
    <w:rsid w:val="005E0A78"/>
    <w:rsid w:val="006161DA"/>
    <w:rsid w:val="00640D38"/>
    <w:rsid w:val="00661CA0"/>
    <w:rsid w:val="006D47E8"/>
    <w:rsid w:val="006E49B7"/>
    <w:rsid w:val="006E6DBC"/>
    <w:rsid w:val="006E78B1"/>
    <w:rsid w:val="006F21E1"/>
    <w:rsid w:val="007035F9"/>
    <w:rsid w:val="0075052A"/>
    <w:rsid w:val="00753AAF"/>
    <w:rsid w:val="007564F6"/>
    <w:rsid w:val="0079501D"/>
    <w:rsid w:val="007A07AC"/>
    <w:rsid w:val="007B3E22"/>
    <w:rsid w:val="007E4D94"/>
    <w:rsid w:val="007F6E12"/>
    <w:rsid w:val="008102D6"/>
    <w:rsid w:val="00853880"/>
    <w:rsid w:val="00892D79"/>
    <w:rsid w:val="008A5043"/>
    <w:rsid w:val="008B3F10"/>
    <w:rsid w:val="008B4C3B"/>
    <w:rsid w:val="008B676F"/>
    <w:rsid w:val="008E2887"/>
    <w:rsid w:val="008F7794"/>
    <w:rsid w:val="00914B23"/>
    <w:rsid w:val="00931A07"/>
    <w:rsid w:val="009B407A"/>
    <w:rsid w:val="009C5DBB"/>
    <w:rsid w:val="009D7F07"/>
    <w:rsid w:val="00A3477D"/>
    <w:rsid w:val="00A427C5"/>
    <w:rsid w:val="00A50200"/>
    <w:rsid w:val="00A64F0E"/>
    <w:rsid w:val="00A750B4"/>
    <w:rsid w:val="00A8571F"/>
    <w:rsid w:val="00AA10DF"/>
    <w:rsid w:val="00B32055"/>
    <w:rsid w:val="00B34618"/>
    <w:rsid w:val="00B431F5"/>
    <w:rsid w:val="00B627BF"/>
    <w:rsid w:val="00BB5490"/>
    <w:rsid w:val="00BC5685"/>
    <w:rsid w:val="00BF56C7"/>
    <w:rsid w:val="00C04D8C"/>
    <w:rsid w:val="00C057C1"/>
    <w:rsid w:val="00C31D3D"/>
    <w:rsid w:val="00C33627"/>
    <w:rsid w:val="00C44655"/>
    <w:rsid w:val="00CA3522"/>
    <w:rsid w:val="00CE3344"/>
    <w:rsid w:val="00D40DA8"/>
    <w:rsid w:val="00D57B53"/>
    <w:rsid w:val="00D62D73"/>
    <w:rsid w:val="00D64DBC"/>
    <w:rsid w:val="00D93B84"/>
    <w:rsid w:val="00D93F0E"/>
    <w:rsid w:val="00DE3D4E"/>
    <w:rsid w:val="00DF2151"/>
    <w:rsid w:val="00E1378C"/>
    <w:rsid w:val="00E4205D"/>
    <w:rsid w:val="00E541B5"/>
    <w:rsid w:val="00E7718D"/>
    <w:rsid w:val="00EE0E73"/>
    <w:rsid w:val="00EF133C"/>
    <w:rsid w:val="00F4313A"/>
    <w:rsid w:val="00F43802"/>
    <w:rsid w:val="00FC3CAD"/>
    <w:rsid w:val="00FD63AF"/>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next w:val="Normal"/>
    <w:link w:val="SignatureCar"/>
    <w:rsid w:val="009C5DBB"/>
    <w:pPr>
      <w:tabs>
        <w:tab w:val="left" w:pos="5103"/>
      </w:tabs>
      <w:spacing w:before="1200" w:after="0" w:line="240" w:lineRule="auto"/>
      <w:ind w:left="5103"/>
      <w:jc w:val="center"/>
    </w:pPr>
    <w:rPr>
      <w:rFonts w:ascii="Times New Roman" w:eastAsia="MS Mincho" w:hAnsi="Times New Roman"/>
      <w:sz w:val="24"/>
      <w:szCs w:val="20"/>
    </w:rPr>
  </w:style>
  <w:style w:type="character" w:customStyle="1" w:styleId="SignatureCar">
    <w:name w:val="Signature Car"/>
    <w:link w:val="Signature"/>
    <w:rsid w:val="009C5DBB"/>
    <w:rPr>
      <w:rFonts w:ascii="Times New Roman" w:eastAsia="MS Mincho" w:hAnsi="Times New Roman"/>
      <w:sz w:val="24"/>
      <w:lang w:val="fr-FR" w:eastAsia="fr-FR"/>
    </w:rPr>
  </w:style>
  <w:style w:type="paragraph" w:styleId="Pieddepage">
    <w:name w:val="footer"/>
    <w:basedOn w:val="Normal"/>
    <w:link w:val="PieddepageCar"/>
    <w:uiPriority w:val="99"/>
    <w:rsid w:val="009C5DBB"/>
    <w:pPr>
      <w:spacing w:after="0" w:line="240" w:lineRule="auto"/>
      <w:ind w:right="-567"/>
    </w:pPr>
    <w:rPr>
      <w:rFonts w:ascii="Arial" w:eastAsia="MS Mincho" w:hAnsi="Arial"/>
      <w:sz w:val="16"/>
      <w:szCs w:val="20"/>
    </w:rPr>
  </w:style>
  <w:style w:type="character" w:customStyle="1" w:styleId="PieddepageCar">
    <w:name w:val="Pied de page Car"/>
    <w:link w:val="Pieddepage"/>
    <w:uiPriority w:val="99"/>
    <w:rsid w:val="009C5DBB"/>
    <w:rPr>
      <w:rFonts w:ascii="Arial" w:eastAsia="MS Mincho" w:hAnsi="Arial"/>
      <w:sz w:val="16"/>
      <w:lang w:val="fr-FR" w:eastAsia="fr-FR"/>
    </w:rPr>
  </w:style>
  <w:style w:type="paragraph" w:styleId="En-tte">
    <w:name w:val="header"/>
    <w:basedOn w:val="Normal"/>
    <w:link w:val="En-tteCar"/>
    <w:uiPriority w:val="99"/>
    <w:rsid w:val="009C5DBB"/>
    <w:pPr>
      <w:tabs>
        <w:tab w:val="center" w:pos="4153"/>
        <w:tab w:val="right" w:pos="8306"/>
      </w:tabs>
      <w:spacing w:after="240" w:line="240" w:lineRule="auto"/>
      <w:jc w:val="both"/>
    </w:pPr>
    <w:rPr>
      <w:rFonts w:ascii="Times New Roman" w:eastAsia="MS Mincho" w:hAnsi="Times New Roman"/>
      <w:sz w:val="24"/>
      <w:szCs w:val="20"/>
    </w:rPr>
  </w:style>
  <w:style w:type="character" w:customStyle="1" w:styleId="En-tteCar">
    <w:name w:val="En-tête Car"/>
    <w:link w:val="En-tte"/>
    <w:uiPriority w:val="99"/>
    <w:rsid w:val="009C5DBB"/>
    <w:rPr>
      <w:rFonts w:ascii="Times New Roman" w:eastAsia="MS Mincho" w:hAnsi="Times New Roman"/>
      <w:sz w:val="24"/>
      <w:lang w:val="fr-FR" w:eastAsia="fr-FR"/>
    </w:rPr>
  </w:style>
  <w:style w:type="paragraph" w:styleId="Listepuces">
    <w:name w:val="List Bullet"/>
    <w:basedOn w:val="Normal"/>
    <w:rsid w:val="009C5DBB"/>
    <w:pPr>
      <w:numPr>
        <w:numId w:val="1"/>
      </w:numPr>
      <w:spacing w:after="240" w:line="240" w:lineRule="auto"/>
      <w:jc w:val="both"/>
    </w:pPr>
    <w:rPr>
      <w:rFonts w:ascii="Times New Roman" w:eastAsia="MS Mincho" w:hAnsi="Times New Roman"/>
      <w:sz w:val="24"/>
      <w:szCs w:val="20"/>
    </w:rPr>
  </w:style>
  <w:style w:type="paragraph" w:customStyle="1" w:styleId="NoteHead">
    <w:name w:val="NoteHead"/>
    <w:basedOn w:val="Normal"/>
    <w:next w:val="Subject"/>
    <w:rsid w:val="009C5DBB"/>
    <w:pPr>
      <w:spacing w:before="720" w:after="720" w:line="240" w:lineRule="auto"/>
      <w:jc w:val="center"/>
    </w:pPr>
    <w:rPr>
      <w:rFonts w:ascii="Times New Roman" w:eastAsia="MS Mincho" w:hAnsi="Times New Roman"/>
      <w:b/>
      <w:smallCaps/>
      <w:sz w:val="24"/>
      <w:szCs w:val="20"/>
    </w:rPr>
  </w:style>
  <w:style w:type="paragraph" w:customStyle="1" w:styleId="Subject">
    <w:name w:val="Subject"/>
    <w:basedOn w:val="Normal"/>
    <w:next w:val="Normal"/>
    <w:rsid w:val="009C5DBB"/>
    <w:pPr>
      <w:spacing w:after="480" w:line="240" w:lineRule="auto"/>
      <w:ind w:left="1531" w:hanging="1531"/>
    </w:pPr>
    <w:rPr>
      <w:rFonts w:ascii="Times New Roman" w:eastAsia="MS Mincho" w:hAnsi="Times New Roman"/>
      <w:b/>
      <w:sz w:val="24"/>
      <w:szCs w:val="20"/>
    </w:rPr>
  </w:style>
  <w:style w:type="character" w:customStyle="1" w:styleId="shorttext">
    <w:name w:val="short_text"/>
    <w:rsid w:val="00556592"/>
  </w:style>
  <w:style w:type="paragraph" w:styleId="Paragraphedeliste">
    <w:name w:val="List Paragraph"/>
    <w:basedOn w:val="Normal"/>
    <w:uiPriority w:val="34"/>
    <w:qFormat/>
    <w:rsid w:val="00EE0E73"/>
    <w:pPr>
      <w:spacing w:after="0" w:line="240" w:lineRule="auto"/>
      <w:ind w:left="720"/>
    </w:pPr>
  </w:style>
  <w:style w:type="character" w:styleId="Lienhypertexte">
    <w:name w:val="Hyperlink"/>
    <w:uiPriority w:val="99"/>
    <w:semiHidden/>
    <w:unhideWhenUsed/>
    <w:rsid w:val="00E1378C"/>
    <w:rPr>
      <w:color w:val="0563C1"/>
      <w:u w:val="single"/>
    </w:rPr>
  </w:style>
  <w:style w:type="paragraph" w:customStyle="1" w:styleId="Default">
    <w:name w:val="Default"/>
    <w:rsid w:val="00D57B53"/>
    <w:pPr>
      <w:autoSpaceDE w:val="0"/>
      <w:autoSpaceDN w:val="0"/>
      <w:adjustRightInd w:val="0"/>
    </w:pPr>
    <w:rPr>
      <w:rFonts w:cs="Calibri"/>
      <w:color w:val="000000"/>
      <w:sz w:val="24"/>
      <w:szCs w:val="24"/>
    </w:rPr>
  </w:style>
  <w:style w:type="paragraph" w:customStyle="1" w:styleId="doc-ti">
    <w:name w:val="doc-ti"/>
    <w:basedOn w:val="Normal"/>
    <w:rsid w:val="007564F6"/>
    <w:pPr>
      <w:spacing w:before="240" w:after="120" w:line="240" w:lineRule="auto"/>
      <w:jc w:val="center"/>
    </w:pPr>
    <w:rPr>
      <w:rFonts w:ascii="Times New Roman" w:eastAsia="Times New Roman" w:hAnsi="Times New Roman"/>
      <w:b/>
      <w:bCs/>
      <w:sz w:val="24"/>
      <w:szCs w:val="24"/>
    </w:rPr>
  </w:style>
  <w:style w:type="character" w:customStyle="1" w:styleId="bold">
    <w:name w:val="bold"/>
    <w:rsid w:val="007564F6"/>
    <w:rPr>
      <w:b/>
      <w:bCs/>
    </w:rPr>
  </w:style>
  <w:style w:type="paragraph" w:customStyle="1" w:styleId="Normal1">
    <w:name w:val="Normal1"/>
    <w:basedOn w:val="Normal"/>
    <w:rsid w:val="00C057C1"/>
    <w:pPr>
      <w:spacing w:before="120" w:after="0" w:line="240" w:lineRule="auto"/>
      <w:jc w:val="both"/>
    </w:pPr>
    <w:rPr>
      <w:rFonts w:ascii="Times New Roman" w:eastAsia="Times New Roman" w:hAnsi="Times New Roman"/>
      <w:sz w:val="24"/>
      <w:szCs w:val="24"/>
    </w:rPr>
  </w:style>
  <w:style w:type="character" w:customStyle="1" w:styleId="super">
    <w:name w:val="super"/>
    <w:rsid w:val="00C057C1"/>
    <w:rPr>
      <w:sz w:val="17"/>
      <w:szCs w:val="17"/>
      <w:vertAlign w:val="superscript"/>
    </w:rPr>
  </w:style>
  <w:style w:type="paragraph" w:styleId="Textedebulles">
    <w:name w:val="Balloon Text"/>
    <w:basedOn w:val="Normal"/>
    <w:link w:val="TextedebullesCar"/>
    <w:uiPriority w:val="99"/>
    <w:semiHidden/>
    <w:unhideWhenUsed/>
    <w:rsid w:val="001127F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127FA"/>
    <w:rPr>
      <w:rFonts w:ascii="Tahoma" w:hAnsi="Tahoma" w:cs="Tahoma"/>
      <w:sz w:val="16"/>
      <w:szCs w:val="16"/>
      <w:lang w:val="fr-FR" w:eastAsia="fr-FR"/>
    </w:rPr>
  </w:style>
  <w:style w:type="character" w:styleId="Marquedecommentaire">
    <w:name w:val="annotation reference"/>
    <w:uiPriority w:val="99"/>
    <w:semiHidden/>
    <w:unhideWhenUsed/>
    <w:rsid w:val="001127FA"/>
    <w:rPr>
      <w:sz w:val="16"/>
      <w:szCs w:val="16"/>
    </w:rPr>
  </w:style>
  <w:style w:type="paragraph" w:styleId="Commentaire">
    <w:name w:val="annotation text"/>
    <w:basedOn w:val="Normal"/>
    <w:link w:val="CommentaireCar"/>
    <w:uiPriority w:val="99"/>
    <w:semiHidden/>
    <w:unhideWhenUsed/>
    <w:rsid w:val="001127FA"/>
    <w:rPr>
      <w:sz w:val="20"/>
      <w:szCs w:val="20"/>
    </w:rPr>
  </w:style>
  <w:style w:type="character" w:customStyle="1" w:styleId="CommentaireCar">
    <w:name w:val="Commentaire Car"/>
    <w:link w:val="Commentaire"/>
    <w:uiPriority w:val="99"/>
    <w:semiHidden/>
    <w:rsid w:val="001127FA"/>
    <w:rPr>
      <w:lang w:val="fr-FR" w:eastAsia="fr-FR"/>
    </w:rPr>
  </w:style>
  <w:style w:type="paragraph" w:styleId="Objetducommentaire">
    <w:name w:val="annotation subject"/>
    <w:basedOn w:val="Commentaire"/>
    <w:next w:val="Commentaire"/>
    <w:link w:val="ObjetducommentaireCar"/>
    <w:uiPriority w:val="99"/>
    <w:semiHidden/>
    <w:unhideWhenUsed/>
    <w:rsid w:val="001127FA"/>
    <w:rPr>
      <w:b/>
      <w:bCs/>
    </w:rPr>
  </w:style>
  <w:style w:type="character" w:customStyle="1" w:styleId="ObjetducommentaireCar">
    <w:name w:val="Objet du commentaire Car"/>
    <w:link w:val="Objetducommentaire"/>
    <w:uiPriority w:val="99"/>
    <w:semiHidden/>
    <w:rsid w:val="001127FA"/>
    <w:rPr>
      <w:b/>
      <w:bCs/>
      <w:lang w:val="fr-FR" w:eastAsia="fr-FR"/>
    </w:rPr>
  </w:style>
  <w:style w:type="paragraph" w:styleId="Rvision">
    <w:name w:val="Revision"/>
    <w:hidden/>
    <w:uiPriority w:val="99"/>
    <w:semiHidden/>
    <w:rsid w:val="003D578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next w:val="Normal"/>
    <w:link w:val="SignatureCar"/>
    <w:rsid w:val="009C5DBB"/>
    <w:pPr>
      <w:tabs>
        <w:tab w:val="left" w:pos="5103"/>
      </w:tabs>
      <w:spacing w:before="1200" w:after="0" w:line="240" w:lineRule="auto"/>
      <w:ind w:left="5103"/>
      <w:jc w:val="center"/>
    </w:pPr>
    <w:rPr>
      <w:rFonts w:ascii="Times New Roman" w:eastAsia="MS Mincho" w:hAnsi="Times New Roman"/>
      <w:sz w:val="24"/>
      <w:szCs w:val="20"/>
    </w:rPr>
  </w:style>
  <w:style w:type="character" w:customStyle="1" w:styleId="SignatureCar">
    <w:name w:val="Signature Car"/>
    <w:link w:val="Signature"/>
    <w:rsid w:val="009C5DBB"/>
    <w:rPr>
      <w:rFonts w:ascii="Times New Roman" w:eastAsia="MS Mincho" w:hAnsi="Times New Roman"/>
      <w:sz w:val="24"/>
      <w:lang w:val="fr-FR" w:eastAsia="fr-FR"/>
    </w:rPr>
  </w:style>
  <w:style w:type="paragraph" w:styleId="Pieddepage">
    <w:name w:val="footer"/>
    <w:basedOn w:val="Normal"/>
    <w:link w:val="PieddepageCar"/>
    <w:uiPriority w:val="99"/>
    <w:rsid w:val="009C5DBB"/>
    <w:pPr>
      <w:spacing w:after="0" w:line="240" w:lineRule="auto"/>
      <w:ind w:right="-567"/>
    </w:pPr>
    <w:rPr>
      <w:rFonts w:ascii="Arial" w:eastAsia="MS Mincho" w:hAnsi="Arial"/>
      <w:sz w:val="16"/>
      <w:szCs w:val="20"/>
    </w:rPr>
  </w:style>
  <w:style w:type="character" w:customStyle="1" w:styleId="PieddepageCar">
    <w:name w:val="Pied de page Car"/>
    <w:link w:val="Pieddepage"/>
    <w:uiPriority w:val="99"/>
    <w:rsid w:val="009C5DBB"/>
    <w:rPr>
      <w:rFonts w:ascii="Arial" w:eastAsia="MS Mincho" w:hAnsi="Arial"/>
      <w:sz w:val="16"/>
      <w:lang w:val="fr-FR" w:eastAsia="fr-FR"/>
    </w:rPr>
  </w:style>
  <w:style w:type="paragraph" w:styleId="En-tte">
    <w:name w:val="header"/>
    <w:basedOn w:val="Normal"/>
    <w:link w:val="En-tteCar"/>
    <w:uiPriority w:val="99"/>
    <w:rsid w:val="009C5DBB"/>
    <w:pPr>
      <w:tabs>
        <w:tab w:val="center" w:pos="4153"/>
        <w:tab w:val="right" w:pos="8306"/>
      </w:tabs>
      <w:spacing w:after="240" w:line="240" w:lineRule="auto"/>
      <w:jc w:val="both"/>
    </w:pPr>
    <w:rPr>
      <w:rFonts w:ascii="Times New Roman" w:eastAsia="MS Mincho" w:hAnsi="Times New Roman"/>
      <w:sz w:val="24"/>
      <w:szCs w:val="20"/>
    </w:rPr>
  </w:style>
  <w:style w:type="character" w:customStyle="1" w:styleId="En-tteCar">
    <w:name w:val="En-tête Car"/>
    <w:link w:val="En-tte"/>
    <w:uiPriority w:val="99"/>
    <w:rsid w:val="009C5DBB"/>
    <w:rPr>
      <w:rFonts w:ascii="Times New Roman" w:eastAsia="MS Mincho" w:hAnsi="Times New Roman"/>
      <w:sz w:val="24"/>
      <w:lang w:val="fr-FR" w:eastAsia="fr-FR"/>
    </w:rPr>
  </w:style>
  <w:style w:type="paragraph" w:styleId="Listepuces">
    <w:name w:val="List Bullet"/>
    <w:basedOn w:val="Normal"/>
    <w:rsid w:val="009C5DBB"/>
    <w:pPr>
      <w:numPr>
        <w:numId w:val="1"/>
      </w:numPr>
      <w:spacing w:after="240" w:line="240" w:lineRule="auto"/>
      <w:jc w:val="both"/>
    </w:pPr>
    <w:rPr>
      <w:rFonts w:ascii="Times New Roman" w:eastAsia="MS Mincho" w:hAnsi="Times New Roman"/>
      <w:sz w:val="24"/>
      <w:szCs w:val="20"/>
    </w:rPr>
  </w:style>
  <w:style w:type="paragraph" w:customStyle="1" w:styleId="NoteHead">
    <w:name w:val="NoteHead"/>
    <w:basedOn w:val="Normal"/>
    <w:next w:val="Subject"/>
    <w:rsid w:val="009C5DBB"/>
    <w:pPr>
      <w:spacing w:before="720" w:after="720" w:line="240" w:lineRule="auto"/>
      <w:jc w:val="center"/>
    </w:pPr>
    <w:rPr>
      <w:rFonts w:ascii="Times New Roman" w:eastAsia="MS Mincho" w:hAnsi="Times New Roman"/>
      <w:b/>
      <w:smallCaps/>
      <w:sz w:val="24"/>
      <w:szCs w:val="20"/>
    </w:rPr>
  </w:style>
  <w:style w:type="paragraph" w:customStyle="1" w:styleId="Subject">
    <w:name w:val="Subject"/>
    <w:basedOn w:val="Normal"/>
    <w:next w:val="Normal"/>
    <w:rsid w:val="009C5DBB"/>
    <w:pPr>
      <w:spacing w:after="480" w:line="240" w:lineRule="auto"/>
      <w:ind w:left="1531" w:hanging="1531"/>
    </w:pPr>
    <w:rPr>
      <w:rFonts w:ascii="Times New Roman" w:eastAsia="MS Mincho" w:hAnsi="Times New Roman"/>
      <w:b/>
      <w:sz w:val="24"/>
      <w:szCs w:val="20"/>
    </w:rPr>
  </w:style>
  <w:style w:type="character" w:customStyle="1" w:styleId="shorttext">
    <w:name w:val="short_text"/>
    <w:rsid w:val="00556592"/>
  </w:style>
  <w:style w:type="paragraph" w:styleId="Paragraphedeliste">
    <w:name w:val="List Paragraph"/>
    <w:basedOn w:val="Normal"/>
    <w:uiPriority w:val="34"/>
    <w:qFormat/>
    <w:rsid w:val="00EE0E73"/>
    <w:pPr>
      <w:spacing w:after="0" w:line="240" w:lineRule="auto"/>
      <w:ind w:left="720"/>
    </w:pPr>
  </w:style>
  <w:style w:type="character" w:styleId="Lienhypertexte">
    <w:name w:val="Hyperlink"/>
    <w:uiPriority w:val="99"/>
    <w:semiHidden/>
    <w:unhideWhenUsed/>
    <w:rsid w:val="00E1378C"/>
    <w:rPr>
      <w:color w:val="0563C1"/>
      <w:u w:val="single"/>
    </w:rPr>
  </w:style>
  <w:style w:type="paragraph" w:customStyle="1" w:styleId="Default">
    <w:name w:val="Default"/>
    <w:rsid w:val="00D57B53"/>
    <w:pPr>
      <w:autoSpaceDE w:val="0"/>
      <w:autoSpaceDN w:val="0"/>
      <w:adjustRightInd w:val="0"/>
    </w:pPr>
    <w:rPr>
      <w:rFonts w:cs="Calibri"/>
      <w:color w:val="000000"/>
      <w:sz w:val="24"/>
      <w:szCs w:val="24"/>
    </w:rPr>
  </w:style>
  <w:style w:type="paragraph" w:customStyle="1" w:styleId="doc-ti">
    <w:name w:val="doc-ti"/>
    <w:basedOn w:val="Normal"/>
    <w:rsid w:val="007564F6"/>
    <w:pPr>
      <w:spacing w:before="240" w:after="120" w:line="240" w:lineRule="auto"/>
      <w:jc w:val="center"/>
    </w:pPr>
    <w:rPr>
      <w:rFonts w:ascii="Times New Roman" w:eastAsia="Times New Roman" w:hAnsi="Times New Roman"/>
      <w:b/>
      <w:bCs/>
      <w:sz w:val="24"/>
      <w:szCs w:val="24"/>
    </w:rPr>
  </w:style>
  <w:style w:type="character" w:customStyle="1" w:styleId="bold">
    <w:name w:val="bold"/>
    <w:rsid w:val="007564F6"/>
    <w:rPr>
      <w:b/>
      <w:bCs/>
    </w:rPr>
  </w:style>
  <w:style w:type="paragraph" w:customStyle="1" w:styleId="Normal1">
    <w:name w:val="Normal1"/>
    <w:basedOn w:val="Normal"/>
    <w:rsid w:val="00C057C1"/>
    <w:pPr>
      <w:spacing w:before="120" w:after="0" w:line="240" w:lineRule="auto"/>
      <w:jc w:val="both"/>
    </w:pPr>
    <w:rPr>
      <w:rFonts w:ascii="Times New Roman" w:eastAsia="Times New Roman" w:hAnsi="Times New Roman"/>
      <w:sz w:val="24"/>
      <w:szCs w:val="24"/>
    </w:rPr>
  </w:style>
  <w:style w:type="character" w:customStyle="1" w:styleId="super">
    <w:name w:val="super"/>
    <w:rsid w:val="00C057C1"/>
    <w:rPr>
      <w:sz w:val="17"/>
      <w:szCs w:val="17"/>
      <w:vertAlign w:val="superscript"/>
    </w:rPr>
  </w:style>
  <w:style w:type="paragraph" w:styleId="Textedebulles">
    <w:name w:val="Balloon Text"/>
    <w:basedOn w:val="Normal"/>
    <w:link w:val="TextedebullesCar"/>
    <w:uiPriority w:val="99"/>
    <w:semiHidden/>
    <w:unhideWhenUsed/>
    <w:rsid w:val="001127F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127FA"/>
    <w:rPr>
      <w:rFonts w:ascii="Tahoma" w:hAnsi="Tahoma" w:cs="Tahoma"/>
      <w:sz w:val="16"/>
      <w:szCs w:val="16"/>
      <w:lang w:val="fr-FR" w:eastAsia="fr-FR"/>
    </w:rPr>
  </w:style>
  <w:style w:type="character" w:styleId="Marquedecommentaire">
    <w:name w:val="annotation reference"/>
    <w:uiPriority w:val="99"/>
    <w:semiHidden/>
    <w:unhideWhenUsed/>
    <w:rsid w:val="001127FA"/>
    <w:rPr>
      <w:sz w:val="16"/>
      <w:szCs w:val="16"/>
    </w:rPr>
  </w:style>
  <w:style w:type="paragraph" w:styleId="Commentaire">
    <w:name w:val="annotation text"/>
    <w:basedOn w:val="Normal"/>
    <w:link w:val="CommentaireCar"/>
    <w:uiPriority w:val="99"/>
    <w:semiHidden/>
    <w:unhideWhenUsed/>
    <w:rsid w:val="001127FA"/>
    <w:rPr>
      <w:sz w:val="20"/>
      <w:szCs w:val="20"/>
    </w:rPr>
  </w:style>
  <w:style w:type="character" w:customStyle="1" w:styleId="CommentaireCar">
    <w:name w:val="Commentaire Car"/>
    <w:link w:val="Commentaire"/>
    <w:uiPriority w:val="99"/>
    <w:semiHidden/>
    <w:rsid w:val="001127FA"/>
    <w:rPr>
      <w:lang w:val="fr-FR" w:eastAsia="fr-FR"/>
    </w:rPr>
  </w:style>
  <w:style w:type="paragraph" w:styleId="Objetducommentaire">
    <w:name w:val="annotation subject"/>
    <w:basedOn w:val="Commentaire"/>
    <w:next w:val="Commentaire"/>
    <w:link w:val="ObjetducommentaireCar"/>
    <w:uiPriority w:val="99"/>
    <w:semiHidden/>
    <w:unhideWhenUsed/>
    <w:rsid w:val="001127FA"/>
    <w:rPr>
      <w:b/>
      <w:bCs/>
    </w:rPr>
  </w:style>
  <w:style w:type="character" w:customStyle="1" w:styleId="ObjetducommentaireCar">
    <w:name w:val="Objet du commentaire Car"/>
    <w:link w:val="Objetducommentaire"/>
    <w:uiPriority w:val="99"/>
    <w:semiHidden/>
    <w:rsid w:val="001127FA"/>
    <w:rPr>
      <w:b/>
      <w:bCs/>
      <w:lang w:val="fr-FR" w:eastAsia="fr-FR"/>
    </w:rPr>
  </w:style>
  <w:style w:type="paragraph" w:styleId="Rvision">
    <w:name w:val="Revision"/>
    <w:hidden/>
    <w:uiPriority w:val="99"/>
    <w:semiHidden/>
    <w:rsid w:val="003D57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640">
      <w:bodyDiv w:val="1"/>
      <w:marLeft w:val="0"/>
      <w:marRight w:val="0"/>
      <w:marTop w:val="0"/>
      <w:marBottom w:val="0"/>
      <w:divBdr>
        <w:top w:val="none" w:sz="0" w:space="0" w:color="auto"/>
        <w:left w:val="none" w:sz="0" w:space="0" w:color="auto"/>
        <w:bottom w:val="none" w:sz="0" w:space="0" w:color="auto"/>
        <w:right w:val="none" w:sz="0" w:space="0" w:color="auto"/>
      </w:divBdr>
    </w:div>
    <w:div w:id="169491781">
      <w:bodyDiv w:val="1"/>
      <w:marLeft w:val="0"/>
      <w:marRight w:val="0"/>
      <w:marTop w:val="0"/>
      <w:marBottom w:val="0"/>
      <w:divBdr>
        <w:top w:val="none" w:sz="0" w:space="0" w:color="auto"/>
        <w:left w:val="none" w:sz="0" w:space="0" w:color="auto"/>
        <w:bottom w:val="none" w:sz="0" w:space="0" w:color="auto"/>
        <w:right w:val="none" w:sz="0" w:space="0" w:color="auto"/>
      </w:divBdr>
    </w:div>
    <w:div w:id="540438186">
      <w:bodyDiv w:val="1"/>
      <w:marLeft w:val="0"/>
      <w:marRight w:val="0"/>
      <w:marTop w:val="0"/>
      <w:marBottom w:val="0"/>
      <w:divBdr>
        <w:top w:val="none" w:sz="0" w:space="0" w:color="auto"/>
        <w:left w:val="none" w:sz="0" w:space="0" w:color="auto"/>
        <w:bottom w:val="none" w:sz="0" w:space="0" w:color="auto"/>
        <w:right w:val="none" w:sz="0" w:space="0" w:color="auto"/>
      </w:divBdr>
    </w:div>
    <w:div w:id="817264022">
      <w:bodyDiv w:val="1"/>
      <w:marLeft w:val="0"/>
      <w:marRight w:val="0"/>
      <w:marTop w:val="0"/>
      <w:marBottom w:val="0"/>
      <w:divBdr>
        <w:top w:val="none" w:sz="0" w:space="0" w:color="auto"/>
        <w:left w:val="none" w:sz="0" w:space="0" w:color="auto"/>
        <w:bottom w:val="none" w:sz="0" w:space="0" w:color="auto"/>
        <w:right w:val="none" w:sz="0" w:space="0" w:color="auto"/>
      </w:divBdr>
    </w:div>
    <w:div w:id="948317423">
      <w:bodyDiv w:val="1"/>
      <w:marLeft w:val="0"/>
      <w:marRight w:val="0"/>
      <w:marTop w:val="0"/>
      <w:marBottom w:val="0"/>
      <w:divBdr>
        <w:top w:val="none" w:sz="0" w:space="0" w:color="auto"/>
        <w:left w:val="none" w:sz="0" w:space="0" w:color="auto"/>
        <w:bottom w:val="none" w:sz="0" w:space="0" w:color="auto"/>
        <w:right w:val="none" w:sz="0" w:space="0" w:color="auto"/>
      </w:divBdr>
    </w:div>
    <w:div w:id="1421372533">
      <w:bodyDiv w:val="1"/>
      <w:marLeft w:val="0"/>
      <w:marRight w:val="0"/>
      <w:marTop w:val="0"/>
      <w:marBottom w:val="0"/>
      <w:divBdr>
        <w:top w:val="none" w:sz="0" w:space="0" w:color="auto"/>
        <w:left w:val="none" w:sz="0" w:space="0" w:color="auto"/>
        <w:bottom w:val="none" w:sz="0" w:space="0" w:color="auto"/>
        <w:right w:val="none" w:sz="0" w:space="0" w:color="auto"/>
      </w:divBdr>
    </w:div>
    <w:div w:id="1536848233">
      <w:bodyDiv w:val="1"/>
      <w:marLeft w:val="390"/>
      <w:marRight w:val="390"/>
      <w:marTop w:val="0"/>
      <w:marBottom w:val="0"/>
      <w:divBdr>
        <w:top w:val="none" w:sz="0" w:space="0" w:color="auto"/>
        <w:left w:val="none" w:sz="0" w:space="0" w:color="auto"/>
        <w:bottom w:val="none" w:sz="0" w:space="0" w:color="auto"/>
        <w:right w:val="none" w:sz="0" w:space="0" w:color="auto"/>
      </w:divBdr>
    </w:div>
    <w:div w:id="1569147910">
      <w:bodyDiv w:val="1"/>
      <w:marLeft w:val="0"/>
      <w:marRight w:val="0"/>
      <w:marTop w:val="0"/>
      <w:marBottom w:val="0"/>
      <w:divBdr>
        <w:top w:val="none" w:sz="0" w:space="0" w:color="auto"/>
        <w:left w:val="none" w:sz="0" w:space="0" w:color="auto"/>
        <w:bottom w:val="none" w:sz="0" w:space="0" w:color="auto"/>
        <w:right w:val="none" w:sz="0" w:space="0" w:color="auto"/>
      </w:divBdr>
    </w:div>
    <w:div w:id="1795714903">
      <w:bodyDiv w:val="1"/>
      <w:marLeft w:val="390"/>
      <w:marRight w:val="390"/>
      <w:marTop w:val="0"/>
      <w:marBottom w:val="0"/>
      <w:divBdr>
        <w:top w:val="none" w:sz="0" w:space="0" w:color="auto"/>
        <w:left w:val="none" w:sz="0" w:space="0" w:color="auto"/>
        <w:bottom w:val="none" w:sz="0" w:space="0" w:color="auto"/>
        <w:right w:val="none" w:sz="0" w:space="0" w:color="auto"/>
      </w:divBdr>
    </w:div>
    <w:div w:id="19126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elvesContributor xmlns="1f4c4646-dfed-4cb7-8580-35df3e6e31a1">
      <UserInfo>
        <DisplayName/>
        <AccountId xsi:nil="true"/>
        <AccountType/>
      </UserInfo>
    </ShelvesContributor>
    <TaxCatchAll xmlns="1f4c4646-dfed-4cb7-8580-35df3e6e31a1">
      <Value>6</Value>
      <Value>214</Value>
      <Value>248</Value>
      <Value>65</Value>
    </TaxCatchAll>
    <Pillar_x0020_lvl_x0020_1 xmlns="1f4c4646-dfed-4cb7-8580-35df3e6e31a1" xsi:nil="true"/>
    <a807448634c14dca976efbe3f1b580d6 xmlns="1f4c4646-dfed-4cb7-8580-35df3e6e31a1">
      <Terms xmlns="http://schemas.microsoft.com/office/infopath/2007/PartnerControls"/>
    </a807448634c14dca976efbe3f1b580d6>
    <c4d57365bed84fe49c42a6ad1d89e36d xmlns="1f4c4646-dfed-4cb7-8580-35df3e6e31a1">
      <Terms xmlns="http://schemas.microsoft.com/office/infopath/2007/PartnerControls"/>
    </c4d57365bed84fe49c42a6ad1d89e36d>
    <o90b71095866447cb12d670741f06bdb xmlns="1f4c4646-dfed-4cb7-8580-35df3e6e31a1">
      <Terms xmlns="http://schemas.microsoft.com/office/infopath/2007/PartnerControls"/>
    </o90b71095866447cb12d670741f06bdb>
    <Publication_x0020_Date xmlns="1f4c4646-dfed-4cb7-8580-35df3e6e31a1" xsi:nil="true"/>
    <bdd96292a99e4a0d86a955dadf94a785 xmlns="1f4c4646-dfed-4cb7-8580-35df3e6e31a1">
      <Terms xmlns="http://schemas.microsoft.com/office/infopath/2007/PartnerControls">
        <TermInfo xmlns="http://schemas.microsoft.com/office/infopath/2007/PartnerControls">
          <TermName xmlns="http://schemas.microsoft.com/office/infopath/2007/PartnerControls">Limited DG</TermName>
          <TermId xmlns="http://schemas.microsoft.com/office/infopath/2007/PartnerControls">aae196bf-9f1c-4580-91e2-5c5829ecf2d6</TermId>
        </TermInfo>
      </Terms>
    </bdd96292a99e4a0d86a955dadf94a785>
    <Interregional xmlns="1f4c4646-dfed-4cb7-8580-35df3e6e31a1">False</Interregional>
    <Cross-border xmlns="1f4c4646-dfed-4cb7-8580-35df3e6e31a1">false</Cross-border>
    <ExpiryDate xmlns="1f4c4646-dfed-4cb7-8580-35df3e6e31a1" xsi:nil="true"/>
    <f47090999c974c6eb0149e2f97b7aaf4 xmlns="1f4c4646-dfed-4cb7-8580-35df3e6e31a1">
      <Terms xmlns="http://schemas.microsoft.com/office/infopath/2007/PartnerControls"/>
    </f47090999c974c6eb0149e2f97b7aaf4>
    <Pillar_x0020_lvl_x0020_2 xmlns="1f4c4646-dfed-4cb7-8580-35df3e6e31a1" xsi:nil="true"/>
    <CCI xmlns="1f4c4646-dfed-4cb7-8580-35df3e6e31a1" xsi:nil="true"/>
    <h43814e8e20344c388316dc3cbd506fb xmlns="1f4c4646-dfed-4cb7-8580-35df3e6e31a1">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af6cff05-0213-4084-92aa-4f661bfa34c5</TermId>
        </TermInfo>
      </Terms>
    </h43814e8e20344c388316dc3cbd506fb>
    <p92b5a59eeda4460a0224d46e81aa6ec xmlns="1f4c4646-dfed-4cb7-8580-35df3e6e31a1">
      <Terms xmlns="http://schemas.microsoft.com/office/infopath/2007/PartnerControls"/>
    </p92b5a59eeda4460a0224d46e81aa6ec>
    <f7b438bee4a24eb5b4753c3dddd3e7a1 xmlns="1f4c4646-dfed-4cb7-8580-35df3e6e31a1">
      <Terms xmlns="http://schemas.microsoft.com/office/infopath/2007/PartnerControls"/>
    </f7b438bee4a24eb5b4753c3dddd3e7a1>
    <paf5a4680923479e851417db4b8c57e8 xmlns="1f4c4646-dfed-4cb7-8580-35df3e6e31a1">
      <Terms xmlns="http://schemas.microsoft.com/office/infopath/2007/PartnerControls"/>
    </paf5a4680923479e851417db4b8c57e8>
    <ETC_Main xmlns="1f4c4646-dfed-4cb7-8580-35df3e6e31a1">False</ETC_Main>
    <d524547a6694427baf73f1b99123c032 xmlns="1f4c4646-dfed-4cb7-8580-35df3e6e31a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33d25b8e-034e-46cd-8c41-38ba8bd8dae5</TermId>
        </TermInfo>
      </Terms>
    </d524547a6694427baf73f1b99123c032>
    <Transnational xmlns="1f4c4646-dfed-4cb7-8580-35df3e6e31a1">False</Transnational>
    <b460a46e943948ec8caf519293f6cf67 xmlns="1f4c4646-dfed-4cb7-8580-35df3e6e31a1">
      <Terms xmlns="http://schemas.microsoft.com/office/infopath/2007/PartnerControls"/>
    </b460a46e943948ec8caf519293f6cf67>
    <ETC xmlns="1f4c4646-dfed-4cb7-8580-35df3e6e31a1">False</ETC>
    <p5001314e5f3451ba4e3a9f5105e4246 xmlns="1f4c4646-dfed-4cb7-8580-35df3e6e31a1">
      <Terms xmlns="http://schemas.microsoft.com/office/infopath/2007/PartnerControls"/>
    </p5001314e5f3451ba4e3a9f5105e4246>
    <Pillar xmlns="1f4c4646-dfed-4cb7-8580-35df3e6e31a1" xsi:nil="true"/>
    <he4a530e9a6b45fa9b5fc65d4832fe8f xmlns="1f4c4646-dfed-4cb7-8580-35df3e6e31a1">
      <Terms xmlns="http://schemas.microsoft.com/office/infopath/2007/PartnerControls"/>
    </he4a530e9a6b45fa9b5fc65d4832fe8f>
    <f24990390d5d4a4dadc904ae6d9239a9 xmlns="1f4c4646-dfed-4cb7-8580-35df3e6e31a1">
      <Terms xmlns="http://schemas.microsoft.com/office/infopath/2007/PartnerControls"/>
    </f24990390d5d4a4dadc904ae6d9239a9>
    <GeographicPillar xmlns="1f4c4646-dfed-4cb7-8580-35df3e6e31a1" xsi:nil="true"/>
    <ProgramTitle xmlns="1f4c4646-dfed-4cb7-8580-35df3e6e31a1" xsi:nil="true"/>
    <pc6c92a2756f4efbbcb3a626b7bb9022 xmlns="1f4c4646-dfed-4cb7-8580-35df3e6e31a1">
      <Terms xmlns="http://schemas.microsoft.com/office/infopath/2007/PartnerControls"/>
    </pc6c92a2756f4efbbcb3a626b7bb9022>
    <TypeOfTerritoriesIsEpmty xmlns="80b9c209-051e-43bc-9d37-5c3522fe7b16" xsi:nil="true"/>
    <f8228e3923354c9d8ecf5d7b721c559e xmlns="1f4c4646-dfed-4cb7-8580-35df3e6e31a1">
      <Terms xmlns="http://schemas.microsoft.com/office/infopath/2007/PartnerControls">
        <TermInfo xmlns="http://schemas.microsoft.com/office/infopath/2007/PartnerControls">
          <TermName xmlns="http://schemas.microsoft.com/office/infopath/2007/PartnerControls">Funds Management</TermName>
          <TermId xmlns="http://schemas.microsoft.com/office/infopath/2007/PartnerControls">3d17a09d-ad76-4372-8f01-02b95f2f2653</TermId>
        </TermInfo>
      </Terms>
    </f8228e3923354c9d8ecf5d7b721c559e>
    <cdfe21f0613a4ce59ef81821ac6b1870 xmlns="1f4c4646-dfed-4cb7-8580-35df3e6e31a1">
      <Terms xmlns="http://schemas.microsoft.com/office/infopath/2007/PartnerControls"/>
    </cdfe21f0613a4ce59ef81821ac6b1870>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C354CB5EDE794C9324293E1173A3CF" ma:contentTypeVersion="141" ma:contentTypeDescription="Create a new document." ma:contentTypeScope="" ma:versionID="a15de1cabd25588afa3a2b2c41c08db8">
  <xsd:schema xmlns:xsd="http://www.w3.org/2001/XMLSchema" xmlns:xs="http://www.w3.org/2001/XMLSchema" xmlns:p="http://schemas.microsoft.com/office/2006/metadata/properties" xmlns:ns2="1f4c4646-dfed-4cb7-8580-35df3e6e31a1" xmlns:ns4="80b9c209-051e-43bc-9d37-5c3522fe7b16" targetNamespace="http://schemas.microsoft.com/office/2006/metadata/properties" ma:root="true" ma:fieldsID="dbadf1562f74475723d2dd7875e98a8a" ns2:_="" ns4:_="">
    <xsd:import namespace="1f4c4646-dfed-4cb7-8580-35df3e6e31a1"/>
    <xsd:import namespace="80b9c209-051e-43bc-9d37-5c3522fe7b16"/>
    <xsd:element name="properties">
      <xsd:complexType>
        <xsd:sequence>
          <xsd:element name="documentManagement">
            <xsd:complexType>
              <xsd:all>
                <xsd:element ref="ns2:Publication_x0020_Date" minOccurs="0"/>
                <xsd:element ref="ns2:ExpiryDate" minOccurs="0"/>
                <xsd:element ref="ns2:CCI" minOccurs="0"/>
                <xsd:element ref="ns2:ShelvesContributor" minOccurs="0"/>
                <xsd:element ref="ns2:ProgramTitle" minOccurs="0"/>
                <xsd:element ref="ns2:a807448634c14dca976efbe3f1b580d6" minOccurs="0"/>
                <xsd:element ref="ns2:h43814e8e20344c388316dc3cbd506fb" minOccurs="0"/>
                <xsd:element ref="ns2:d524547a6694427baf73f1b99123c032" minOccurs="0"/>
                <xsd:element ref="ns2:pc6c92a2756f4efbbcb3a626b7bb9022" minOccurs="0"/>
                <xsd:element ref="ns2:c4d57365bed84fe49c42a6ad1d89e36d" minOccurs="0"/>
                <xsd:element ref="ns2:f8228e3923354c9d8ecf5d7b721c559e" minOccurs="0"/>
                <xsd:element ref="ns2:p92b5a59eeda4460a0224d46e81aa6ec" minOccurs="0"/>
                <xsd:element ref="ns2:p5001314e5f3451ba4e3a9f5105e4246" minOccurs="0"/>
                <xsd:element ref="ns2:he4a530e9a6b45fa9b5fc65d4832fe8f" minOccurs="0"/>
                <xsd:element ref="ns2:cdfe21f0613a4ce59ef81821ac6b1870" minOccurs="0"/>
                <xsd:element ref="ns2:b460a46e943948ec8caf519293f6cf67" minOccurs="0"/>
                <xsd:element ref="ns2:f47090999c974c6eb0149e2f97b7aaf4" minOccurs="0"/>
                <xsd:element ref="ns2:f7b438bee4a24eb5b4753c3dddd3e7a1" minOccurs="0"/>
                <xsd:element ref="ns2:TaxCatchAll" minOccurs="0"/>
                <xsd:element ref="ns2:paf5a4680923479e851417db4b8c57e8" minOccurs="0"/>
                <xsd:element ref="ns2:bdd96292a99e4a0d86a955dadf94a785" minOccurs="0"/>
                <xsd:element ref="ns2:o90b71095866447cb12d670741f06bdb" minOccurs="0"/>
                <xsd:element ref="ns2:f24990390d5d4a4dadc904ae6d9239a9" minOccurs="0"/>
                <xsd:element ref="ns2:Pillar" minOccurs="0"/>
                <xsd:element ref="ns2:Pillar_x0020_lvl_x0020_1" minOccurs="0"/>
                <xsd:element ref="ns2:Pillar_x0020_lvl_x0020_2" minOccurs="0"/>
                <xsd:element ref="ns2:GeographicPillar" minOccurs="0"/>
                <xsd:element ref="ns2:Cross-border" minOccurs="0"/>
                <xsd:element ref="ns2:ETC" minOccurs="0"/>
                <xsd:element ref="ns2:Interregional" minOccurs="0"/>
                <xsd:element ref="ns2:Transnational" minOccurs="0"/>
                <xsd:element ref="ns2:ETC_Main" minOccurs="0"/>
                <xsd:element ref="ns4:TypeOfTerritoriesIsEpm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4646-dfed-4cb7-8580-35df3e6e31a1" elementFormDefault="qualified">
    <xsd:import namespace="http://schemas.microsoft.com/office/2006/documentManagement/types"/>
    <xsd:import namespace="http://schemas.microsoft.com/office/infopath/2007/PartnerControls"/>
    <xsd:element name="Publication_x0020_Date" ma:index="15" nillable="true" ma:displayName="Publication Date" ma:format="DateOnly" ma:internalName="Publication_x0020_Date">
      <xsd:simpleType>
        <xsd:restriction base="dms:DateTime"/>
      </xsd:simpleType>
    </xsd:element>
    <xsd:element name="ExpiryDate" ma:index="17" nillable="true" ma:displayName="Expiry Date" ma:description="The date and time the document is no longer valid." ma:format="DateTime" ma:internalName="Expiry_x0020_Date">
      <xsd:simpleType>
        <xsd:restriction base="dms:DateTime"/>
      </xsd:simpleType>
    </xsd:element>
    <xsd:element name="CCI" ma:index="18" nillable="true" ma:displayName="CCI" ma:description="Common Identification codes (CCI) is a unique 14 character code assigned to a document, like an Operational Programme or a Project" ma:internalName="CCI" ma:readOnly="false">
      <xsd:simpleType>
        <xsd:restriction base="dms:Text">
          <xsd:maxLength value="255"/>
        </xsd:restriction>
      </xsd:simpleType>
    </xsd:element>
    <xsd:element name="ShelvesContributor" ma:index="21" nillable="true" ma:displayName="SHELVES Contributor" ma:description="Posting/uploading/preparing a document/article/object on behalf of a certain individual." ma:list="UserInfo" ma:SearchPeopleOnly="false" ma:SharePointGroup="0" ma:internalName="SHELVES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amTitle" ma:index="24" nillable="true" ma:displayName="ProgramTitle" ma:description="The title of the programme." ma:hidden="true" ma:internalName="ProgramTitle" ma:readOnly="false">
      <xsd:simpleType>
        <xsd:restriction base="dms:Text">
          <xsd:maxLength value="255"/>
        </xsd:restriction>
      </xsd:simpleType>
    </xsd:element>
    <xsd:element name="a807448634c14dca976efbe3f1b580d6" ma:index="26" nillable="true" ma:taxonomy="true" ma:internalName="a807448634c14dca976efbe3f1b580d6" ma:taxonomyFieldName="ProgrammeType" ma:displayName="Type of management (Programme / Commission)" ma:default="" ma:fieldId="{a8074486-34c1-4dca-976e-fbe3f1b580d6}" ma:taxonomyMulti="true" ma:sspId="c1588629-5f01-4420-b1c1-1ab4af18d9bf" ma:termSetId="60944a91-52e2-4b7b-a08f-adb85233ba0c" ma:anchorId="00000000-0000-0000-0000-000000000000" ma:open="false" ma:isKeyword="false">
      <xsd:complexType>
        <xsd:sequence>
          <xsd:element ref="pc:Terms" minOccurs="0" maxOccurs="1"/>
        </xsd:sequence>
      </xsd:complexType>
    </xsd:element>
    <xsd:element name="h43814e8e20344c388316dc3cbd506fb" ma:index="28" nillable="true" ma:taxonomy="true" ma:internalName="h43814e8e20344c388316dc3cbd506fb" ma:taxonomyFieldName="RegionTypeOfRegion" ma:displayName="Country and Region" ma:default="6;#N/A|af6cff05-0213-4084-92aa-4f661bfa34c5" ma:fieldId="{143814e8-e203-44c3-8831-6dc3cbd506fb}" ma:taxonomyMulti="true" ma:sspId="c1588629-5f01-4420-b1c1-1ab4af18d9bf" ma:termSetId="4ac478e6-3689-4ac2-9abe-e0584d21f62d" ma:anchorId="00000000-0000-0000-0000-000000000000" ma:open="false" ma:isKeyword="false">
      <xsd:complexType>
        <xsd:sequence>
          <xsd:element ref="pc:Terms" minOccurs="0" maxOccurs="1"/>
        </xsd:sequence>
      </xsd:complexType>
    </xsd:element>
    <xsd:element name="d524547a6694427baf73f1b99123c032" ma:index="30" ma:taxonomy="true" ma:internalName="d524547a6694427baf73f1b99123c032" ma:taxonomyFieldName="Document_x0020_Type" ma:displayName="Document Types" ma:default="" ma:fieldId="{d524547a-6694-427b-af73-f1b99123c032}" ma:sspId="c1588629-5f01-4420-b1c1-1ab4af18d9bf" ma:termSetId="61c1a6ef-0093-46ed-a0c6-bb32e29acf6c" ma:anchorId="00000000-0000-0000-0000-000000000000" ma:open="false" ma:isKeyword="false">
      <xsd:complexType>
        <xsd:sequence>
          <xsd:element ref="pc:Terms" minOccurs="0" maxOccurs="1"/>
        </xsd:sequence>
      </xsd:complexType>
    </xsd:element>
    <xsd:element name="pc6c92a2756f4efbbcb3a626b7bb9022" ma:index="33" nillable="true" ma:taxonomy="true" ma:internalName="pc6c92a2756f4efbbcb3a626b7bb9022" ma:taxonomyFieldName="InvestmentPriorities" ma:displayName="Thematic Objectives and Investment Priorities" ma:default="" ma:fieldId="{9c6c92a2-756f-4efb-bcb3-a626b7bb9022}" ma:taxonomyMulti="true" ma:sspId="c1588629-5f01-4420-b1c1-1ab4af18d9bf" ma:termSetId="f294d9b6-d7b0-4dbb-b142-3fef374df34b" ma:anchorId="00000000-0000-0000-0000-000000000000" ma:open="false" ma:isKeyword="false">
      <xsd:complexType>
        <xsd:sequence>
          <xsd:element ref="pc:Terms" minOccurs="0" maxOccurs="1"/>
        </xsd:sequence>
      </xsd:complexType>
    </xsd:element>
    <xsd:element name="c4d57365bed84fe49c42a6ad1d89e36d" ma:index="34" nillable="true" ma:taxonomy="true" ma:internalName="c4d57365bed84fe49c42a6ad1d89e36d" ma:taxonomyFieldName="Funds" ma:displayName="Funds" ma:default="" ma:fieldId="{c4d57365-bed8-4fe4-9c42-a6ad1d89e36d}" ma:taxonomyMulti="true" ma:sspId="c1588629-5f01-4420-b1c1-1ab4af18d9bf" ma:termSetId="6730cdf1-b69d-4ad5-8f24-2e7936b029df" ma:anchorId="00000000-0000-0000-0000-000000000000" ma:open="false" ma:isKeyword="false">
      <xsd:complexType>
        <xsd:sequence>
          <xsd:element ref="pc:Terms" minOccurs="0" maxOccurs="1"/>
        </xsd:sequence>
      </xsd:complexType>
    </xsd:element>
    <xsd:element name="f8228e3923354c9d8ecf5d7b721c559e" ma:index="35" ma:taxonomy="true" ma:internalName="f8228e3923354c9d8ecf5d7b721c559e" ma:taxonomyFieldName="RegulatoryFramework" ma:displayName="Main pillar areas" ma:readOnly="false" ma:default="" ma:fieldId="{f8228e39-2335-4c9d-8ecf-5d7b721c559e}" ma:taxonomyMulti="true" ma:sspId="c1588629-5f01-4420-b1c1-1ab4af18d9bf" ma:termSetId="1ec875cb-cfa9-48cc-b638-571293a398cd" ma:anchorId="00000000-0000-0000-0000-000000000000" ma:open="false" ma:isKeyword="false">
      <xsd:complexType>
        <xsd:sequence>
          <xsd:element ref="pc:Terms" minOccurs="0" maxOccurs="1"/>
        </xsd:sequence>
      </xsd:complexType>
    </xsd:element>
    <xsd:element name="p92b5a59eeda4460a0224d46e81aa6ec" ma:index="36" nillable="true" ma:taxonomy="true" ma:internalName="p92b5a59eeda4460a0224d46e81aa6ec" ma:taxonomyFieldName="Document_x0020_Status" ma:displayName="SHELVES Status" ma:default="" ma:fieldId="{992b5a59-eeda-4460-a022-4d46e81aa6ec}" ma:sspId="c1588629-5f01-4420-b1c1-1ab4af18d9bf" ma:termSetId="d6472736-f779-4d76-b222-55936d442470" ma:anchorId="00000000-0000-0000-0000-000000000000" ma:open="false" ma:isKeyword="false">
      <xsd:complexType>
        <xsd:sequence>
          <xsd:element ref="pc:Terms" minOccurs="0" maxOccurs="1"/>
        </xsd:sequence>
      </xsd:complexType>
    </xsd:element>
    <xsd:element name="p5001314e5f3451ba4e3a9f5105e4246" ma:index="37" nillable="true" ma:taxonomy="true" ma:internalName="p5001314e5f3451ba4e3a9f5105e4246" ma:taxonomyFieldName="Type_x0020_of_x0020_Territory" ma:displayName="Type of Territory" ma:indexed="true" ma:default="" ma:fieldId="{95001314-e5f3-451b-a4e3-a9f5105e4246}" ma:sspId="c1588629-5f01-4420-b1c1-1ab4af18d9bf" ma:termSetId="243adf55-9130-48bc-a448-d6260808e7d9" ma:anchorId="00000000-0000-0000-0000-000000000000" ma:open="false" ma:isKeyword="false">
      <xsd:complexType>
        <xsd:sequence>
          <xsd:element ref="pc:Terms" minOccurs="0" maxOccurs="1"/>
        </xsd:sequence>
      </xsd:complexType>
    </xsd:element>
    <xsd:element name="he4a530e9a6b45fa9b5fc65d4832fe8f" ma:index="38" nillable="true" ma:taxonomy="true" ma:internalName="he4a530e9a6b45fa9b5fc65d4832fe8f" ma:taxonomyFieldName="ProgramPhase" ma:displayName="Programme Phase" ma:default="" ma:fieldId="{1e4a530e-9a6b-45fa-9b5f-c65d4832fe8f}" ma:sspId="c1588629-5f01-4420-b1c1-1ab4af18d9bf" ma:termSetId="d84468b4-0148-4fe3-af06-f2d11954d56a" ma:anchorId="00000000-0000-0000-0000-000000000000" ma:open="false" ma:isKeyword="false">
      <xsd:complexType>
        <xsd:sequence>
          <xsd:element ref="pc:Terms" minOccurs="0" maxOccurs="1"/>
        </xsd:sequence>
      </xsd:complexType>
    </xsd:element>
    <xsd:element name="cdfe21f0613a4ce59ef81821ac6b1870" ma:index="41" nillable="true" ma:taxonomy="true" ma:internalName="cdfe21f0613a4ce59ef81821ac6b1870" ma:taxonomyFieldName="ProgramPeriod" ma:displayName="Program Period" ma:default="" ma:fieldId="{cdfe21f0-613a-4ce5-9ef8-1821ac6b1870}" ma:taxonomyMulti="true" ma:sspId="c1588629-5f01-4420-b1c1-1ab4af18d9bf" ma:termSetId="231a28de-b862-47ce-83bf-a440eddb4a12" ma:anchorId="00000000-0000-0000-0000-000000000000" ma:open="false" ma:isKeyword="false">
      <xsd:complexType>
        <xsd:sequence>
          <xsd:element ref="pc:Terms" minOccurs="0" maxOccurs="1"/>
        </xsd:sequence>
      </xsd:complexType>
    </xsd:element>
    <xsd:element name="b460a46e943948ec8caf519293f6cf67" ma:index="42" nillable="true" ma:taxonomy="true" ma:internalName="b460a46e943948ec8caf519293f6cf67" ma:taxonomyFieldName="Cross_x002d_cutting_x0020_objectives_x0020_and_x0020_principles" ma:displayName="Cross-cutting objectives and principles" ma:default="" ma:fieldId="{b460a46e-9439-48ec-8caf-519293f6cf67}" ma:sspId="c1588629-5f01-4420-b1c1-1ab4af18d9bf" ma:termSetId="b9e0ae9a-19cb-4dbd-b050-6462ceae846d" ma:anchorId="00000000-0000-0000-0000-000000000000" ma:open="false" ma:isKeyword="false">
      <xsd:complexType>
        <xsd:sequence>
          <xsd:element ref="pc:Terms" minOccurs="0" maxOccurs="1"/>
        </xsd:sequence>
      </xsd:complexType>
    </xsd:element>
    <xsd:element name="f47090999c974c6eb0149e2f97b7aaf4" ma:index="43" nillable="true" ma:taxonomy="true" ma:internalName="f47090999c974c6eb0149e2f97b7aaf4" ma:taxonomyFieldName="ShelvesLanguage" ma:displayName="SHELVES Language" ma:default="" ma:fieldId="{f4709099-9c97-4c6e-b014-9e2f97b7aaf4}" ma:sspId="c1588629-5f01-4420-b1c1-1ab4af18d9bf" ma:termSetId="b6c80037-8207-4f0e-a9bc-cff44bd80f13" ma:anchorId="00000000-0000-0000-0000-000000000000" ma:open="false" ma:isKeyword="false">
      <xsd:complexType>
        <xsd:sequence>
          <xsd:element ref="pc:Terms" minOccurs="0" maxOccurs="1"/>
        </xsd:sequence>
      </xsd:complexType>
    </xsd:element>
    <xsd:element name="f7b438bee4a24eb5b4753c3dddd3e7a1" ma:index="44" nillable="true" ma:taxonomy="true" ma:internalName="f7b438bee4a24eb5b4753c3dddd3e7a1" ma:taxonomyFieldName="Forms_x0020_of_x0020_Support" ma:displayName="Forms of Support" ma:default="" ma:fieldId="{f7b438be-e4a2-4eb5-b475-3c3dddd3e7a1}" ma:sspId="c1588629-5f01-4420-b1c1-1ab4af18d9bf" ma:termSetId="164e5e0c-df28-48dd-bcb0-de9e17717da2" ma:anchorId="00000000-0000-0000-0000-000000000000" ma:open="false" ma:isKeyword="false">
      <xsd:complexType>
        <xsd:sequence>
          <xsd:element ref="pc:Terms" minOccurs="0" maxOccurs="1"/>
        </xsd:sequence>
      </xsd:complexType>
    </xsd:element>
    <xsd:element name="TaxCatchAll" ma:index="45" nillable="true" ma:displayName="Taxonomy Catch All Column" ma:hidden="true" ma:list="{34da0acf-9787-49b1-9d65-bdd823320e83}" ma:internalName="TaxCatchAll" ma:showField="CatchAllData" ma:web="1f4c4646-dfed-4cb7-8580-35df3e6e31a1">
      <xsd:complexType>
        <xsd:complexContent>
          <xsd:extension base="dms:MultiChoiceLookup">
            <xsd:sequence>
              <xsd:element name="Value" type="dms:Lookup" maxOccurs="unbounded" minOccurs="0" nillable="true"/>
            </xsd:sequence>
          </xsd:extension>
        </xsd:complexContent>
      </xsd:complexType>
    </xsd:element>
    <xsd:element name="paf5a4680923479e851417db4b8c57e8" ma:index="46" nillable="true" ma:taxonomy="true" ma:internalName="paf5a4680923479e851417db4b8c57e8" ma:taxonomyFieldName="Legislative_x0020_procedures" ma:displayName="Legislative procedures" ma:default="" ma:fieldId="{9af5a468-0923-479e-8514-17db4b8c57e8}" ma:sspId="c1588629-5f01-4420-b1c1-1ab4af18d9bf" ma:termSetId="2bd1360b-5a54-4f5a-8e17-70eb38bd732f" ma:anchorId="00000000-0000-0000-0000-000000000000" ma:open="false" ma:isKeyword="false">
      <xsd:complexType>
        <xsd:sequence>
          <xsd:element ref="pc:Terms" minOccurs="0" maxOccurs="1"/>
        </xsd:sequence>
      </xsd:complexType>
    </xsd:element>
    <xsd:element name="bdd96292a99e4a0d86a955dadf94a785" ma:index="47" ma:taxonomy="true" ma:internalName="bdd96292a99e4a0d86a955dadf94a785" ma:taxonomyFieldName="SecurityClassification" ma:displayName="Security Classification" ma:indexed="true" ma:default="65;#Limited DG|aae196bf-9f1c-4580-91e2-5c5829ecf2d6" ma:fieldId="{bdd96292-a99e-4a0d-86a9-55dadf94a785}" ma:sspId="c1588629-5f01-4420-b1c1-1ab4af18d9bf" ma:termSetId="cfbdebcd-4343-40c0-a30e-e6fe7a7f0704" ma:anchorId="00000000-0000-0000-0000-000000000000" ma:open="false" ma:isKeyword="false">
      <xsd:complexType>
        <xsd:sequence>
          <xsd:element ref="pc:Terms" minOccurs="0" maxOccurs="1"/>
        </xsd:sequence>
      </xsd:complexType>
    </xsd:element>
    <xsd:element name="o90b71095866447cb12d670741f06bdb" ma:index="48" nillable="true" ma:taxonomy="true" ma:internalName="o90b71095866447cb12d670741f06bdb" ma:taxonomyFieldName="Modes_x0020_of_x0020_Implementation" ma:displayName="Modes of Implementation" ma:default="" ma:fieldId="{890b7109-5866-447c-b12d-670741f06bdb}" ma:sspId="c1588629-5f01-4420-b1c1-1ab4af18d9bf" ma:termSetId="10a0b07f-ea81-483b-8dec-3437b9a833b3" ma:anchorId="00000000-0000-0000-0000-000000000000" ma:open="false" ma:isKeyword="false">
      <xsd:complexType>
        <xsd:sequence>
          <xsd:element ref="pc:Terms" minOccurs="0" maxOccurs="1"/>
        </xsd:sequence>
      </xsd:complexType>
    </xsd:element>
    <xsd:element name="f24990390d5d4a4dadc904ae6d9239a9" ma:index="49" nillable="true" ma:taxonomy="true" ma:internalName="f24990390d5d4a4dadc904ae6d9239a9" ma:taxonomyFieldName="REGIOManagement" ma:displayName="Regio Management" ma:default="" ma:fieldId="{f2499039-0d5d-4a4d-adc9-04ae6d9239a9}" ma:taxonomyMulti="true" ma:sspId="c1588629-5f01-4420-b1c1-1ab4af18d9bf" ma:termSetId="d921f1e0-3ac9-4d19-b66a-1433d0f21135" ma:anchorId="00000000-0000-0000-0000-000000000000" ma:open="false" ma:isKeyword="false">
      <xsd:complexType>
        <xsd:sequence>
          <xsd:element ref="pc:Terms" minOccurs="0" maxOccurs="1"/>
        </xsd:sequence>
      </xsd:complexType>
    </xsd:element>
    <xsd:element name="Pillar" ma:index="50" nillable="true" ma:displayName="Pillar" ma:hidden="true" ma:internalName="Pillar" ma:readOnly="false">
      <xsd:simpleType>
        <xsd:restriction base="dms:Text">
          <xsd:maxLength value="255"/>
        </xsd:restriction>
      </xsd:simpleType>
    </xsd:element>
    <xsd:element name="Pillar_x0020_lvl_x0020_1" ma:index="51" nillable="true" ma:displayName="Pillar lvl 1" ma:hidden="true" ma:internalName="Pillar_x0020_lvl_x0020_1" ma:readOnly="false">
      <xsd:simpleType>
        <xsd:restriction base="dms:Text">
          <xsd:maxLength value="255"/>
        </xsd:restriction>
      </xsd:simpleType>
    </xsd:element>
    <xsd:element name="Pillar_x0020_lvl_x0020_2" ma:index="52" nillable="true" ma:displayName="Pillar lvl 2" ma:hidden="true" ma:internalName="Pillar_x0020_lvl_x0020_2" ma:readOnly="false">
      <xsd:simpleType>
        <xsd:restriction base="dms:Text">
          <xsd:maxLength value="255"/>
        </xsd:restriction>
      </xsd:simpleType>
    </xsd:element>
    <xsd:element name="GeographicPillar" ma:index="53" nillable="true" ma:displayName="GeographicPillar" ma:hidden="true" ma:internalName="GeographicPillar" ma:readOnly="false">
      <xsd:simpleType>
        <xsd:restriction base="dms:Text">
          <xsd:maxLength value="255"/>
        </xsd:restriction>
      </xsd:simpleType>
    </xsd:element>
    <xsd:element name="Cross-border" ma:index="54" nillable="true" ma:displayName="Cross-border" ma:default="false" ma:hidden="true" ma:internalName="Cross_x002d_border" ma:readOnly="false">
      <xsd:simpleType>
        <xsd:restriction base="dms:Text">
          <xsd:maxLength value="255"/>
        </xsd:restriction>
      </xsd:simpleType>
    </xsd:element>
    <xsd:element name="ETC" ma:index="55" nillable="true" ma:displayName="ETC" ma:default="false" ma:hidden="true" ma:internalName="ETC" ma:readOnly="false">
      <xsd:simpleType>
        <xsd:restriction base="dms:Text">
          <xsd:maxLength value="255"/>
        </xsd:restriction>
      </xsd:simpleType>
    </xsd:element>
    <xsd:element name="Interregional" ma:index="56" nillable="true" ma:displayName="Interregional" ma:default="false" ma:hidden="true" ma:internalName="Interregional" ma:readOnly="false">
      <xsd:simpleType>
        <xsd:restriction base="dms:Text">
          <xsd:maxLength value="255"/>
        </xsd:restriction>
      </xsd:simpleType>
    </xsd:element>
    <xsd:element name="Transnational" ma:index="57" nillable="true" ma:displayName="Transnational" ma:default="false" ma:hidden="true" ma:internalName="Transnational" ma:readOnly="false">
      <xsd:simpleType>
        <xsd:restriction base="dms:Text">
          <xsd:maxLength value="255"/>
        </xsd:restriction>
      </xsd:simpleType>
    </xsd:element>
    <xsd:element name="ETC_Main" ma:index="58" nillable="true" ma:displayName="ETC_Main" ma:default="false" ma:hidden="true" ma:internalName="ETC_Mai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9c209-051e-43bc-9d37-5c3522fe7b16" elementFormDefault="qualified">
    <xsd:import namespace="http://schemas.microsoft.com/office/2006/documentManagement/types"/>
    <xsd:import namespace="http://schemas.microsoft.com/office/infopath/2007/PartnerControls"/>
    <xsd:element name="TypeOfTerritoriesIsEpmty" ma:index="59" nillable="true" ma:displayName="TypeOfTerritoriesIsEpmty" ma:hidden="true" ma:internalName="TypeOfTerritoriesIsEpm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4077-D3FF-457D-A248-511F9EF86CE0}">
  <ds:schemaRefs>
    <ds:schemaRef ds:uri="http://schemas.microsoft.com/sharepoint/v3/contenttype/forms"/>
  </ds:schemaRefs>
</ds:datastoreItem>
</file>

<file path=customXml/itemProps2.xml><?xml version="1.0" encoding="utf-8"?>
<ds:datastoreItem xmlns:ds="http://schemas.openxmlformats.org/officeDocument/2006/customXml" ds:itemID="{7A7C6782-DE41-4820-AC98-952068C0B5C0}">
  <ds:schemaRefs>
    <ds:schemaRef ds:uri="http://schemas.openxmlformats.org/package/2006/metadata/core-properties"/>
    <ds:schemaRef ds:uri="http://purl.org/dc/terms/"/>
    <ds:schemaRef ds:uri="http://purl.org/dc/dcmitype/"/>
    <ds:schemaRef ds:uri="80b9c209-051e-43bc-9d37-5c3522fe7b16"/>
    <ds:schemaRef ds:uri="1f4c4646-dfed-4cb7-8580-35df3e6e31a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85CA6E1-6CDE-46B6-9416-15E6E1C1703B}">
  <ds:schemaRefs>
    <ds:schemaRef ds:uri="http://schemas.microsoft.com/office/2006/metadata/longProperties"/>
  </ds:schemaRefs>
</ds:datastoreItem>
</file>

<file path=customXml/itemProps4.xml><?xml version="1.0" encoding="utf-8"?>
<ds:datastoreItem xmlns:ds="http://schemas.openxmlformats.org/officeDocument/2006/customXml" ds:itemID="{8D6846D5-B03B-4E60-9275-E3D986581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4646-dfed-4cb7-8580-35df3e6e31a1"/>
    <ds:schemaRef ds:uri="80b9c209-051e-43bc-9d37-5c3522fe7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4059E6-6C92-4F57-988D-213A71C3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11369</Characters>
  <Application>Microsoft Office Word</Application>
  <DocSecurity>4</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BERARD-DELAY Cecile (REGIO)</dc:creator>
  <cp:lastModifiedBy>Mission2</cp:lastModifiedBy>
  <cp:revision>2</cp:revision>
  <cp:lastPrinted>2018-04-11T07:01:00Z</cp:lastPrinted>
  <dcterms:created xsi:type="dcterms:W3CDTF">2018-04-11T07:02:00Z</dcterms:created>
  <dcterms:modified xsi:type="dcterms:W3CDTF">2018-04-11T07:02:00Z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InvestmentPriorities">
    <vt:lpwstr/>
  </property>
  <property fmtid="{D5CDD505-2E9C-101B-9397-08002B2CF9AE}" pid="5" name="Forms of Support">
    <vt:lpwstr/>
  </property>
  <property fmtid="{D5CDD505-2E9C-101B-9397-08002B2CF9AE}" pid="6" name="Type of Territory">
    <vt:lpwstr/>
  </property>
  <property fmtid="{D5CDD505-2E9C-101B-9397-08002B2CF9AE}" pid="7" name="Cross-cutting objectives and principles">
    <vt:lpwstr/>
  </property>
  <property fmtid="{D5CDD505-2E9C-101B-9397-08002B2CF9AE}" pid="8" name="Modes of Implementation">
    <vt:lpwstr/>
  </property>
  <property fmtid="{D5CDD505-2E9C-101B-9397-08002B2CF9AE}" pid="9" name="Funds">
    <vt:lpwstr/>
  </property>
  <property fmtid="{D5CDD505-2E9C-101B-9397-08002B2CF9AE}" pid="10" name="ProgramPeriod">
    <vt:lpwstr/>
  </property>
  <property fmtid="{D5CDD505-2E9C-101B-9397-08002B2CF9AE}" pid="11" name="SecurityClassification">
    <vt:lpwstr>65;#Limited DG|aae196bf-9f1c-4580-91e2-5c5829ecf2d6</vt:lpwstr>
  </property>
  <property fmtid="{D5CDD505-2E9C-101B-9397-08002B2CF9AE}" pid="12" name="Document Type">
    <vt:lpwstr>248;#Template|33d25b8e-034e-46cd-8c41-38ba8bd8dae5</vt:lpwstr>
  </property>
  <property fmtid="{D5CDD505-2E9C-101B-9397-08002B2CF9AE}" pid="13" name="ProgramPhase">
    <vt:lpwstr/>
  </property>
  <property fmtid="{D5CDD505-2E9C-101B-9397-08002B2CF9AE}" pid="14" name="Legislative procedures">
    <vt:lpwstr/>
  </property>
  <property fmtid="{D5CDD505-2E9C-101B-9397-08002B2CF9AE}" pid="15" name="REGIOManagement">
    <vt:lpwstr/>
  </property>
  <property fmtid="{D5CDD505-2E9C-101B-9397-08002B2CF9AE}" pid="16" name="ProgrammeType">
    <vt:lpwstr/>
  </property>
  <property fmtid="{D5CDD505-2E9C-101B-9397-08002B2CF9AE}" pid="17" name="RegionTypeOfRegion">
    <vt:lpwstr>6;#N/A|af6cff05-0213-4084-92aa-4f661bfa34c5</vt:lpwstr>
  </property>
  <property fmtid="{D5CDD505-2E9C-101B-9397-08002B2CF9AE}" pid="18" name="RegulatoryFramework">
    <vt:lpwstr>214;#Funds Management|3d17a09d-ad76-4372-8f01-02b95f2f2653</vt:lpwstr>
  </property>
  <property fmtid="{D5CDD505-2E9C-101B-9397-08002B2CF9AE}" pid="19" name="ShelvesLanguage">
    <vt:lpwstr/>
  </property>
  <property fmtid="{D5CDD505-2E9C-101B-9397-08002B2CF9AE}" pid="20" name="Document Status">
    <vt:lpwstr/>
  </property>
  <property fmtid="{D5CDD505-2E9C-101B-9397-08002B2CF9AE}" pid="21" name="WorkflowChangePath">
    <vt:lpwstr>ce4fa790-bcb2-4cb5-9155-531807de568c,4;b04f4547-f5bd-4876-a291-f86263d8eff3,5;ce4fa790-bcb2-4cb5-9155-531807de568c,6;ce4fa790-bcb2-4cb5-9155-531807de568c,8;</vt:lpwstr>
  </property>
</Properties>
</file>